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CAC5" w14:textId="26D1269D" w:rsidR="00025EF7" w:rsidRPr="00025EF7" w:rsidRDefault="00025EF7" w:rsidP="00025EF7">
      <w:pPr>
        <w:spacing w:after="0" w:line="240" w:lineRule="auto"/>
        <w:jc w:val="center"/>
        <w:rPr>
          <w:rFonts w:ascii="Calibri" w:hAnsi="Calibri" w:cs="Calibri"/>
          <w:b/>
          <w:sz w:val="22"/>
          <w:szCs w:val="22"/>
          <w:lang w:val="es-AR"/>
        </w:rPr>
      </w:pPr>
      <w:r w:rsidRPr="00025EF7">
        <w:rPr>
          <w:rFonts w:ascii="Calibri" w:hAnsi="Calibri" w:cs="Calibri"/>
          <w:b/>
          <w:sz w:val="22"/>
          <w:szCs w:val="22"/>
          <w:lang w:val="es-AR"/>
        </w:rPr>
        <w:t>18° Encuentro Nacional de Investigadores Universitarios del Área Contable</w:t>
      </w:r>
    </w:p>
    <w:p w14:paraId="100EA9BB" w14:textId="77777777" w:rsidR="00025EF7" w:rsidRPr="00025EF7" w:rsidRDefault="00025EF7" w:rsidP="00025EF7">
      <w:pPr>
        <w:spacing w:after="0" w:line="240" w:lineRule="auto"/>
        <w:rPr>
          <w:rFonts w:ascii="Calibri" w:hAnsi="Calibri" w:cs="Calibri"/>
          <w:b/>
          <w:sz w:val="22"/>
          <w:szCs w:val="22"/>
          <w:lang w:val="es-AR"/>
        </w:rPr>
      </w:pPr>
    </w:p>
    <w:p w14:paraId="1D922D53" w14:textId="0DBBDB6F" w:rsidR="00025EF7" w:rsidRPr="00025EF7" w:rsidRDefault="00025EF7" w:rsidP="00025EF7">
      <w:pPr>
        <w:spacing w:after="0" w:line="240" w:lineRule="auto"/>
        <w:jc w:val="center"/>
        <w:rPr>
          <w:rFonts w:ascii="Calibri" w:hAnsi="Calibri" w:cs="Calibri"/>
          <w:b/>
          <w:sz w:val="22"/>
          <w:szCs w:val="22"/>
          <w:lang w:val="es-AR"/>
        </w:rPr>
      </w:pPr>
      <w:r w:rsidRPr="00025EF7">
        <w:rPr>
          <w:rFonts w:ascii="Calibri" w:hAnsi="Calibri" w:cs="Calibri"/>
          <w:b/>
          <w:sz w:val="22"/>
          <w:szCs w:val="22"/>
          <w:lang w:val="es-AR"/>
        </w:rPr>
        <w:t>18° Simposio Regional de Investigación Contable</w:t>
      </w:r>
    </w:p>
    <w:p w14:paraId="0BE17A16" w14:textId="77777777" w:rsidR="00025EF7" w:rsidRPr="00025EF7" w:rsidRDefault="00025EF7" w:rsidP="00025EF7">
      <w:pPr>
        <w:spacing w:after="0" w:line="240" w:lineRule="auto"/>
        <w:jc w:val="center"/>
        <w:rPr>
          <w:rFonts w:ascii="Calibri" w:hAnsi="Calibri" w:cs="Calibri"/>
          <w:sz w:val="22"/>
          <w:szCs w:val="22"/>
          <w:lang w:val="es-AR"/>
        </w:rPr>
      </w:pPr>
    </w:p>
    <w:p w14:paraId="6415428E" w14:textId="77777777" w:rsidR="00025EF7" w:rsidRPr="00025EF7" w:rsidRDefault="00025EF7" w:rsidP="00025EF7">
      <w:pPr>
        <w:spacing w:after="0" w:line="240" w:lineRule="auto"/>
        <w:jc w:val="center"/>
        <w:rPr>
          <w:rFonts w:ascii="Calibri" w:hAnsi="Calibri" w:cs="Calibri"/>
          <w:sz w:val="22"/>
          <w:szCs w:val="22"/>
          <w:lang w:val="es-AR"/>
        </w:rPr>
      </w:pPr>
    </w:p>
    <w:p w14:paraId="1EA73401" w14:textId="77777777" w:rsidR="00025EF7" w:rsidRPr="00025EF7" w:rsidRDefault="00025EF7" w:rsidP="00025EF7">
      <w:pPr>
        <w:spacing w:after="0" w:line="240" w:lineRule="auto"/>
        <w:jc w:val="center"/>
        <w:rPr>
          <w:rFonts w:ascii="Calibri" w:hAnsi="Calibri" w:cs="Calibri"/>
          <w:b/>
          <w:bCs/>
          <w:sz w:val="22"/>
          <w:szCs w:val="22"/>
          <w:lang w:val="es-AR"/>
        </w:rPr>
      </w:pPr>
    </w:p>
    <w:p w14:paraId="0F82CBDB" w14:textId="77777777" w:rsidR="00025EF7" w:rsidRPr="00025EF7" w:rsidRDefault="00025EF7" w:rsidP="00025EF7">
      <w:pPr>
        <w:spacing w:after="0" w:line="240" w:lineRule="auto"/>
        <w:jc w:val="center"/>
        <w:rPr>
          <w:rFonts w:ascii="Calibri" w:hAnsi="Calibri" w:cs="Calibri"/>
          <w:b/>
          <w:bCs/>
          <w:sz w:val="22"/>
          <w:szCs w:val="22"/>
          <w:lang w:val="es-AR"/>
        </w:rPr>
      </w:pPr>
    </w:p>
    <w:p w14:paraId="27D33A98" w14:textId="77777777" w:rsidR="00025EF7" w:rsidRPr="00025EF7" w:rsidRDefault="00025EF7" w:rsidP="00025EF7">
      <w:pPr>
        <w:spacing w:after="0" w:line="240" w:lineRule="auto"/>
        <w:jc w:val="center"/>
        <w:rPr>
          <w:rFonts w:ascii="Calibri" w:hAnsi="Calibri" w:cs="Calibri"/>
          <w:b/>
          <w:bCs/>
          <w:sz w:val="22"/>
          <w:szCs w:val="22"/>
          <w:lang w:val="es-AR"/>
        </w:rPr>
      </w:pPr>
      <w:r w:rsidRPr="00025EF7">
        <w:rPr>
          <w:rFonts w:ascii="Calibri" w:hAnsi="Calibri" w:cs="Calibri"/>
          <w:b/>
          <w:bCs/>
          <w:sz w:val="22"/>
          <w:szCs w:val="22"/>
          <w:lang w:val="es-AR"/>
        </w:rPr>
        <w:t>Tecnologías de la información y blockchain</w:t>
      </w:r>
    </w:p>
    <w:p w14:paraId="6D7BAF3C" w14:textId="77777777" w:rsidR="00025EF7" w:rsidRPr="00025EF7" w:rsidRDefault="00025EF7" w:rsidP="00025EF7">
      <w:pPr>
        <w:spacing w:after="0" w:line="240" w:lineRule="auto"/>
        <w:jc w:val="center"/>
        <w:rPr>
          <w:rFonts w:ascii="Calibri" w:hAnsi="Calibri" w:cs="Calibri"/>
          <w:b/>
          <w:bCs/>
          <w:sz w:val="22"/>
          <w:szCs w:val="22"/>
          <w:lang w:val="es-AR"/>
        </w:rPr>
      </w:pPr>
    </w:p>
    <w:p w14:paraId="3CFE7EB8" w14:textId="77777777" w:rsidR="00025EF7" w:rsidRPr="00025EF7" w:rsidRDefault="00025EF7" w:rsidP="00025EF7">
      <w:pPr>
        <w:spacing w:after="0" w:line="240" w:lineRule="auto"/>
        <w:jc w:val="center"/>
        <w:rPr>
          <w:rFonts w:ascii="Calibri" w:hAnsi="Calibri" w:cs="Calibri"/>
          <w:b/>
          <w:bCs/>
          <w:sz w:val="22"/>
          <w:szCs w:val="22"/>
          <w:lang w:val="es-AR"/>
        </w:rPr>
      </w:pPr>
    </w:p>
    <w:p w14:paraId="0A501E4E" w14:textId="4CBDF142" w:rsidR="00025EF7" w:rsidRPr="00025EF7" w:rsidRDefault="00025EF7" w:rsidP="00025EF7">
      <w:pPr>
        <w:spacing w:after="0" w:line="240" w:lineRule="auto"/>
        <w:jc w:val="center"/>
        <w:rPr>
          <w:rFonts w:ascii="Calibri" w:hAnsi="Calibri" w:cs="Calibri"/>
          <w:b/>
          <w:sz w:val="22"/>
          <w:szCs w:val="22"/>
          <w:lang w:val="es-AR"/>
        </w:rPr>
      </w:pPr>
      <w:r w:rsidRPr="00025EF7">
        <w:rPr>
          <w:rFonts w:ascii="Calibri" w:hAnsi="Calibri" w:cs="Calibri"/>
          <w:b/>
          <w:bCs/>
          <w:sz w:val="22"/>
          <w:szCs w:val="22"/>
          <w:lang w:val="es-AR"/>
        </w:rPr>
        <w:t>Título del Trabajo “ CRIPTOMONEDAS</w:t>
      </w:r>
      <w:r>
        <w:rPr>
          <w:rFonts w:ascii="Calibri" w:hAnsi="Calibri" w:cs="Calibri"/>
          <w:b/>
          <w:bCs/>
          <w:sz w:val="22"/>
          <w:szCs w:val="22"/>
          <w:lang w:val="es-AR"/>
        </w:rPr>
        <w:t xml:space="preserve"> EN FRANCIA : SITUACION ACTUAL</w:t>
      </w:r>
      <w:r w:rsidRPr="00025EF7">
        <w:rPr>
          <w:rFonts w:ascii="Calibri" w:hAnsi="Calibri" w:cs="Calibri"/>
          <w:b/>
          <w:bCs/>
          <w:sz w:val="22"/>
          <w:szCs w:val="22"/>
          <w:lang w:val="es-AR"/>
        </w:rPr>
        <w:t>”</w:t>
      </w:r>
    </w:p>
    <w:p w14:paraId="3EA7586C" w14:textId="77777777" w:rsidR="00025EF7" w:rsidRPr="00025EF7" w:rsidRDefault="00025EF7" w:rsidP="00025EF7">
      <w:pPr>
        <w:spacing w:after="0" w:line="240" w:lineRule="auto"/>
        <w:jc w:val="center"/>
        <w:rPr>
          <w:rFonts w:ascii="Calibri" w:hAnsi="Calibri" w:cs="Calibri"/>
          <w:b/>
          <w:sz w:val="22"/>
          <w:szCs w:val="22"/>
          <w:lang w:val="es-AR"/>
        </w:rPr>
      </w:pPr>
    </w:p>
    <w:p w14:paraId="34F80904" w14:textId="77777777" w:rsidR="00025EF7" w:rsidRPr="00025EF7" w:rsidRDefault="00025EF7" w:rsidP="00025EF7">
      <w:pPr>
        <w:spacing w:after="0" w:line="360" w:lineRule="auto"/>
        <w:jc w:val="center"/>
        <w:rPr>
          <w:rFonts w:ascii="Calibri" w:hAnsi="Calibri" w:cs="Calibri"/>
          <w:bCs/>
          <w:sz w:val="22"/>
          <w:szCs w:val="22"/>
          <w:lang w:val="es-AR"/>
        </w:rPr>
      </w:pPr>
      <w:r w:rsidRPr="00025EF7">
        <w:rPr>
          <w:rFonts w:ascii="Calibri" w:hAnsi="Calibri" w:cs="Calibri"/>
          <w:bCs/>
          <w:sz w:val="22"/>
          <w:szCs w:val="22"/>
          <w:lang w:val="es-AR"/>
        </w:rPr>
        <w:t>Autora : Irene MEONI (Consultora - Alpes Maritimes – FRANCIA)</w:t>
      </w:r>
    </w:p>
    <w:p w14:paraId="2A7EB9DE" w14:textId="77777777" w:rsidR="00025EF7" w:rsidRPr="00025EF7" w:rsidRDefault="00025EF7" w:rsidP="00025EF7">
      <w:pPr>
        <w:spacing w:after="0" w:line="360" w:lineRule="auto"/>
        <w:jc w:val="center"/>
        <w:rPr>
          <w:rFonts w:ascii="Calibri" w:hAnsi="Calibri" w:cs="Calibri"/>
          <w:sz w:val="22"/>
          <w:szCs w:val="22"/>
          <w:lang w:val="es-AR"/>
        </w:rPr>
      </w:pPr>
    </w:p>
    <w:p w14:paraId="5AAD4433" w14:textId="77777777" w:rsidR="00025EF7" w:rsidRPr="002C715E" w:rsidRDefault="00025EF7" w:rsidP="00025EF7">
      <w:pPr>
        <w:spacing w:after="0" w:line="360" w:lineRule="auto"/>
        <w:jc w:val="center"/>
        <w:rPr>
          <w:rFonts w:ascii="Calibri" w:hAnsi="Calibri" w:cs="Calibri"/>
          <w:lang w:val="es-AR"/>
        </w:rPr>
      </w:pPr>
    </w:p>
    <w:p w14:paraId="441E4E77" w14:textId="38C023CF" w:rsidR="00025EF7" w:rsidRPr="002C715E" w:rsidRDefault="002E72C1" w:rsidP="00025EF7">
      <w:pPr>
        <w:spacing w:after="0" w:line="360" w:lineRule="auto"/>
        <w:jc w:val="center"/>
        <w:rPr>
          <w:rFonts w:ascii="Calibri" w:hAnsi="Calibri" w:cs="Calibri"/>
          <w:b/>
          <w:bCs/>
          <w:lang w:val="es-AR"/>
        </w:rPr>
      </w:pPr>
      <w:r>
        <w:rPr>
          <w:rFonts w:ascii="Calibri" w:hAnsi="Calibri" w:cs="Calibri"/>
          <w:b/>
          <w:bCs/>
          <w:lang w:val="es-AR"/>
        </w:rPr>
        <w:t>17 de Noviembre</w:t>
      </w:r>
      <w:r w:rsidR="00AD2082">
        <w:rPr>
          <w:rFonts w:ascii="Calibri" w:hAnsi="Calibri" w:cs="Calibri"/>
          <w:b/>
          <w:bCs/>
          <w:lang w:val="es-AR"/>
        </w:rPr>
        <w:t xml:space="preserve"> de 2022</w:t>
      </w:r>
    </w:p>
    <w:p w14:paraId="59B50152" w14:textId="77777777" w:rsidR="00025EF7" w:rsidRPr="002C715E" w:rsidRDefault="00025EF7" w:rsidP="00025EF7">
      <w:pPr>
        <w:spacing w:after="0" w:line="360" w:lineRule="auto"/>
        <w:jc w:val="center"/>
        <w:rPr>
          <w:rFonts w:ascii="Calibri" w:hAnsi="Calibri" w:cs="Calibri"/>
          <w:b/>
          <w:bCs/>
          <w:lang w:val="es-AR"/>
        </w:rPr>
      </w:pPr>
      <w:r w:rsidRPr="002C715E">
        <w:rPr>
          <w:rFonts w:ascii="Calibri" w:hAnsi="Calibri" w:cs="Calibri"/>
          <w:b/>
          <w:bCs/>
          <w:lang w:val="es-AR"/>
        </w:rPr>
        <w:t>Facultad de Ciencias Económicas, Universidad Nacional de la Plata, Argentina</w:t>
      </w:r>
    </w:p>
    <w:p w14:paraId="7FD44C36" w14:textId="1070D7AE" w:rsidR="00025EF7" w:rsidRDefault="00025EF7" w:rsidP="00AD2082">
      <w:pPr>
        <w:pStyle w:val="Titre"/>
        <w:jc w:val="both"/>
        <w:rPr>
          <w:rFonts w:ascii="Calibri" w:hAnsi="Calibri" w:cs="Calibri"/>
          <w:sz w:val="22"/>
          <w:szCs w:val="22"/>
          <w:lang w:val="es-AR"/>
        </w:rPr>
      </w:pPr>
      <w:r w:rsidRPr="002C715E">
        <w:rPr>
          <w:rFonts w:ascii="Calibri" w:hAnsi="Calibri" w:cs="Calibri"/>
          <w:sz w:val="22"/>
          <w:szCs w:val="22"/>
          <w:lang w:val="es-AR"/>
        </w:rPr>
        <w:br w:type="page"/>
      </w:r>
    </w:p>
    <w:sdt>
      <w:sdtPr>
        <w:rPr>
          <w:rFonts w:asciiTheme="minorHAnsi" w:eastAsiaTheme="minorEastAsia" w:hAnsiTheme="minorHAnsi" w:cstheme="minorBidi"/>
          <w:color w:val="auto"/>
          <w:sz w:val="21"/>
          <w:szCs w:val="21"/>
        </w:rPr>
        <w:id w:val="558519058"/>
        <w:docPartObj>
          <w:docPartGallery w:val="Table of Contents"/>
          <w:docPartUnique/>
        </w:docPartObj>
      </w:sdtPr>
      <w:sdtEndPr>
        <w:rPr>
          <w:b/>
          <w:bCs/>
        </w:rPr>
      </w:sdtEndPr>
      <w:sdtContent>
        <w:p w14:paraId="540EFAA3" w14:textId="0FC51403" w:rsidR="00AD2082" w:rsidRDefault="00596856">
          <w:pPr>
            <w:pStyle w:val="En-ttedetabledesmatires"/>
          </w:pPr>
          <w:r>
            <w:t>INDICE</w:t>
          </w:r>
        </w:p>
        <w:p w14:paraId="130D96E5" w14:textId="77777777" w:rsidR="00975F06" w:rsidRDefault="00975F06">
          <w:pPr>
            <w:pStyle w:val="TM2"/>
            <w:tabs>
              <w:tab w:val="right" w:leader="dot" w:pos="9062"/>
            </w:tabs>
          </w:pPr>
        </w:p>
        <w:p w14:paraId="602CC9E8" w14:textId="77777777" w:rsidR="00975F06" w:rsidRDefault="00975F06">
          <w:pPr>
            <w:pStyle w:val="TM2"/>
            <w:tabs>
              <w:tab w:val="right" w:leader="dot" w:pos="9062"/>
            </w:tabs>
          </w:pPr>
        </w:p>
        <w:p w14:paraId="19BAC4D3" w14:textId="0B62964D" w:rsidR="00AD2082" w:rsidRDefault="00AD2082">
          <w:pPr>
            <w:pStyle w:val="TM2"/>
            <w:tabs>
              <w:tab w:val="right" w:leader="dot" w:pos="9062"/>
            </w:tabs>
            <w:rPr>
              <w:noProof/>
              <w:sz w:val="22"/>
              <w:szCs w:val="22"/>
              <w:lang w:eastAsia="fr-FR"/>
            </w:rPr>
          </w:pPr>
          <w:r>
            <w:fldChar w:fldCharType="begin"/>
          </w:r>
          <w:r>
            <w:instrText xml:space="preserve"> TOC \o "1-3" \h \z \u </w:instrText>
          </w:r>
          <w:r>
            <w:fldChar w:fldCharType="separate"/>
          </w:r>
          <w:hyperlink w:anchor="_Toc115689846" w:history="1">
            <w:r w:rsidRPr="00AC5B4D">
              <w:rPr>
                <w:rStyle w:val="Lienhypertexte"/>
                <w:rFonts w:ascii="Calibri" w:hAnsi="Calibri" w:cs="Calibri"/>
                <w:b/>
                <w:bCs/>
                <w:noProof/>
                <w:lang w:val="es-AR"/>
              </w:rPr>
              <w:t>RESUMEN:</w:t>
            </w:r>
            <w:r>
              <w:rPr>
                <w:noProof/>
                <w:webHidden/>
              </w:rPr>
              <w:tab/>
            </w:r>
            <w:r>
              <w:rPr>
                <w:noProof/>
                <w:webHidden/>
              </w:rPr>
              <w:fldChar w:fldCharType="begin"/>
            </w:r>
            <w:r>
              <w:rPr>
                <w:noProof/>
                <w:webHidden/>
              </w:rPr>
              <w:instrText xml:space="preserve"> PAGEREF _Toc115689846 \h </w:instrText>
            </w:r>
            <w:r>
              <w:rPr>
                <w:noProof/>
                <w:webHidden/>
              </w:rPr>
            </w:r>
            <w:r>
              <w:rPr>
                <w:noProof/>
                <w:webHidden/>
              </w:rPr>
              <w:fldChar w:fldCharType="separate"/>
            </w:r>
            <w:r>
              <w:rPr>
                <w:noProof/>
                <w:webHidden/>
              </w:rPr>
              <w:t>3</w:t>
            </w:r>
            <w:r>
              <w:rPr>
                <w:noProof/>
                <w:webHidden/>
              </w:rPr>
              <w:fldChar w:fldCharType="end"/>
            </w:r>
          </w:hyperlink>
        </w:p>
        <w:p w14:paraId="2D1D9F28" w14:textId="18CC0545" w:rsidR="00AD2082" w:rsidRDefault="00000000">
          <w:pPr>
            <w:pStyle w:val="TM2"/>
            <w:tabs>
              <w:tab w:val="right" w:leader="dot" w:pos="9062"/>
            </w:tabs>
            <w:rPr>
              <w:noProof/>
              <w:sz w:val="22"/>
              <w:szCs w:val="22"/>
              <w:lang w:eastAsia="fr-FR"/>
            </w:rPr>
          </w:pPr>
          <w:hyperlink w:anchor="_Toc115689847" w:history="1">
            <w:r w:rsidR="00AD2082" w:rsidRPr="00AC5B4D">
              <w:rPr>
                <w:rStyle w:val="Lienhypertexte"/>
                <w:rFonts w:ascii="Calibri" w:hAnsi="Calibri" w:cs="Calibri"/>
                <w:b/>
                <w:bCs/>
                <w:caps/>
                <w:noProof/>
                <w:lang w:val="es-AR"/>
              </w:rPr>
              <w:t>Introducción</w:t>
            </w:r>
            <w:r w:rsidR="00AD2082">
              <w:rPr>
                <w:noProof/>
                <w:webHidden/>
              </w:rPr>
              <w:tab/>
            </w:r>
            <w:r w:rsidR="00AD2082">
              <w:rPr>
                <w:noProof/>
                <w:webHidden/>
              </w:rPr>
              <w:fldChar w:fldCharType="begin"/>
            </w:r>
            <w:r w:rsidR="00AD2082">
              <w:rPr>
                <w:noProof/>
                <w:webHidden/>
              </w:rPr>
              <w:instrText xml:space="preserve"> PAGEREF _Toc115689847 \h </w:instrText>
            </w:r>
            <w:r w:rsidR="00AD2082">
              <w:rPr>
                <w:noProof/>
                <w:webHidden/>
              </w:rPr>
            </w:r>
            <w:r w:rsidR="00AD2082">
              <w:rPr>
                <w:noProof/>
                <w:webHidden/>
              </w:rPr>
              <w:fldChar w:fldCharType="separate"/>
            </w:r>
            <w:r w:rsidR="00AD2082">
              <w:rPr>
                <w:noProof/>
                <w:webHidden/>
              </w:rPr>
              <w:t>4</w:t>
            </w:r>
            <w:r w:rsidR="00AD2082">
              <w:rPr>
                <w:noProof/>
                <w:webHidden/>
              </w:rPr>
              <w:fldChar w:fldCharType="end"/>
            </w:r>
          </w:hyperlink>
        </w:p>
        <w:p w14:paraId="646F8677" w14:textId="488E6839" w:rsidR="00AD2082" w:rsidRDefault="00000000">
          <w:pPr>
            <w:pStyle w:val="TM2"/>
            <w:tabs>
              <w:tab w:val="left" w:pos="660"/>
              <w:tab w:val="right" w:leader="dot" w:pos="9062"/>
            </w:tabs>
            <w:rPr>
              <w:noProof/>
              <w:sz w:val="22"/>
              <w:szCs w:val="22"/>
              <w:lang w:eastAsia="fr-FR"/>
            </w:rPr>
          </w:pPr>
          <w:hyperlink w:anchor="_Toc115689848" w:history="1">
            <w:r w:rsidR="00AD2082" w:rsidRPr="00AC5B4D">
              <w:rPr>
                <w:rStyle w:val="Lienhypertexte"/>
                <w:rFonts w:ascii="Calibri" w:hAnsi="Calibri" w:cs="Calibri"/>
                <w:caps/>
                <w:noProof/>
                <w:lang w:val="es-AR"/>
              </w:rPr>
              <w:t>I.</w:t>
            </w:r>
            <w:r w:rsidR="00AD2082">
              <w:rPr>
                <w:noProof/>
                <w:sz w:val="22"/>
                <w:szCs w:val="22"/>
                <w:lang w:eastAsia="fr-FR"/>
              </w:rPr>
              <w:tab/>
            </w:r>
            <w:r w:rsidR="00AD2082" w:rsidRPr="00AC5B4D">
              <w:rPr>
                <w:rStyle w:val="Lienhypertexte"/>
                <w:rFonts w:ascii="Calibri" w:hAnsi="Calibri" w:cs="Calibri"/>
                <w:caps/>
                <w:noProof/>
                <w:lang w:val="es-AR"/>
              </w:rPr>
              <w:t>Cuadro recapitulativo: Seguimiento de los diferentes temas en 2021</w:t>
            </w:r>
            <w:r w:rsidR="00AD2082">
              <w:rPr>
                <w:noProof/>
                <w:webHidden/>
              </w:rPr>
              <w:tab/>
            </w:r>
            <w:r w:rsidR="00AD2082">
              <w:rPr>
                <w:noProof/>
                <w:webHidden/>
              </w:rPr>
              <w:fldChar w:fldCharType="begin"/>
            </w:r>
            <w:r w:rsidR="00AD2082">
              <w:rPr>
                <w:noProof/>
                <w:webHidden/>
              </w:rPr>
              <w:instrText xml:space="preserve"> PAGEREF _Toc115689848 \h </w:instrText>
            </w:r>
            <w:r w:rsidR="00AD2082">
              <w:rPr>
                <w:noProof/>
                <w:webHidden/>
              </w:rPr>
            </w:r>
            <w:r w:rsidR="00AD2082">
              <w:rPr>
                <w:noProof/>
                <w:webHidden/>
              </w:rPr>
              <w:fldChar w:fldCharType="separate"/>
            </w:r>
            <w:r w:rsidR="00AD2082">
              <w:rPr>
                <w:noProof/>
                <w:webHidden/>
              </w:rPr>
              <w:t>5</w:t>
            </w:r>
            <w:r w:rsidR="00AD2082">
              <w:rPr>
                <w:noProof/>
                <w:webHidden/>
              </w:rPr>
              <w:fldChar w:fldCharType="end"/>
            </w:r>
          </w:hyperlink>
        </w:p>
        <w:p w14:paraId="25866144" w14:textId="5023B2B3" w:rsidR="00AD2082" w:rsidRDefault="00000000">
          <w:pPr>
            <w:pStyle w:val="TM3"/>
            <w:tabs>
              <w:tab w:val="left" w:pos="880"/>
              <w:tab w:val="right" w:leader="dot" w:pos="9062"/>
            </w:tabs>
            <w:rPr>
              <w:noProof/>
              <w:sz w:val="22"/>
              <w:szCs w:val="22"/>
              <w:lang w:eastAsia="fr-FR"/>
            </w:rPr>
          </w:pPr>
          <w:hyperlink w:anchor="_Toc115689849" w:history="1">
            <w:r w:rsidR="00AD2082" w:rsidRPr="00AC5B4D">
              <w:rPr>
                <w:rStyle w:val="Lienhypertexte"/>
                <w:rFonts w:ascii="Calibri" w:hAnsi="Calibri" w:cs="Calibri"/>
                <w:noProof/>
              </w:rPr>
              <w:t>A.</w:t>
            </w:r>
            <w:r w:rsidR="00AD2082">
              <w:rPr>
                <w:noProof/>
                <w:sz w:val="22"/>
                <w:szCs w:val="22"/>
                <w:lang w:eastAsia="fr-FR"/>
              </w:rPr>
              <w:tab/>
            </w:r>
            <w:r w:rsidR="00AD2082" w:rsidRPr="00AC5B4D">
              <w:rPr>
                <w:rStyle w:val="Lienhypertexte"/>
                <w:rFonts w:ascii="Calibri" w:hAnsi="Calibri" w:cs="Calibri"/>
                <w:noProof/>
              </w:rPr>
              <w:t xml:space="preserve">El bitcoin en la </w:t>
            </w:r>
            <w:r w:rsidR="00AD2082" w:rsidRPr="00AC5B4D">
              <w:rPr>
                <w:rStyle w:val="Lienhypertexte"/>
                <w:rFonts w:ascii="Calibri" w:hAnsi="Calibri" w:cs="Calibri"/>
                <w:noProof/>
                <w:lang w:val="es-AR"/>
              </w:rPr>
              <w:t>economía</w:t>
            </w:r>
            <w:r w:rsidR="00AD2082" w:rsidRPr="00AC5B4D">
              <w:rPr>
                <w:rStyle w:val="Lienhypertexte"/>
                <w:rFonts w:ascii="Calibri" w:hAnsi="Calibri" w:cs="Calibri"/>
                <w:noProof/>
              </w:rPr>
              <w:t xml:space="preserve">, las </w:t>
            </w:r>
            <w:r w:rsidR="00AD2082" w:rsidRPr="00AC5B4D">
              <w:rPr>
                <w:rStyle w:val="Lienhypertexte"/>
                <w:rFonts w:ascii="Calibri" w:hAnsi="Calibri" w:cs="Calibri"/>
                <w:noProof/>
                <w:lang w:val="es-AR"/>
              </w:rPr>
              <w:t>finanzas</w:t>
            </w:r>
            <w:r w:rsidR="00AD2082" w:rsidRPr="00AC5B4D">
              <w:rPr>
                <w:rStyle w:val="Lienhypertexte"/>
                <w:rFonts w:ascii="Calibri" w:hAnsi="Calibri" w:cs="Calibri"/>
                <w:noProof/>
              </w:rPr>
              <w:t xml:space="preserve"> y el </w:t>
            </w:r>
            <w:r w:rsidR="00AD2082" w:rsidRPr="00AC5B4D">
              <w:rPr>
                <w:rStyle w:val="Lienhypertexte"/>
                <w:rFonts w:ascii="Calibri" w:hAnsi="Calibri" w:cs="Calibri"/>
                <w:noProof/>
                <w:lang w:val="es-AR"/>
              </w:rPr>
              <w:t>mundo</w:t>
            </w:r>
            <w:r w:rsidR="00AD2082" w:rsidRPr="00AC5B4D">
              <w:rPr>
                <w:rStyle w:val="Lienhypertexte"/>
                <w:rFonts w:ascii="Calibri" w:hAnsi="Calibri" w:cs="Calibri"/>
                <w:noProof/>
              </w:rPr>
              <w:t xml:space="preserve"> de las </w:t>
            </w:r>
            <w:r w:rsidR="00AD2082" w:rsidRPr="00AC5B4D">
              <w:rPr>
                <w:rStyle w:val="Lienhypertexte"/>
                <w:rFonts w:ascii="Calibri" w:hAnsi="Calibri" w:cs="Calibri"/>
                <w:noProof/>
                <w:lang w:val="es-AR"/>
              </w:rPr>
              <w:t>cifras</w:t>
            </w:r>
            <w:r w:rsidR="00AD2082">
              <w:rPr>
                <w:noProof/>
                <w:webHidden/>
              </w:rPr>
              <w:tab/>
            </w:r>
            <w:r w:rsidR="00AD2082">
              <w:rPr>
                <w:noProof/>
                <w:webHidden/>
              </w:rPr>
              <w:fldChar w:fldCharType="begin"/>
            </w:r>
            <w:r w:rsidR="00AD2082">
              <w:rPr>
                <w:noProof/>
                <w:webHidden/>
              </w:rPr>
              <w:instrText xml:space="preserve"> PAGEREF _Toc115689849 \h </w:instrText>
            </w:r>
            <w:r w:rsidR="00AD2082">
              <w:rPr>
                <w:noProof/>
                <w:webHidden/>
              </w:rPr>
            </w:r>
            <w:r w:rsidR="00AD2082">
              <w:rPr>
                <w:noProof/>
                <w:webHidden/>
              </w:rPr>
              <w:fldChar w:fldCharType="separate"/>
            </w:r>
            <w:r w:rsidR="00AD2082">
              <w:rPr>
                <w:noProof/>
                <w:webHidden/>
              </w:rPr>
              <w:t>5</w:t>
            </w:r>
            <w:r w:rsidR="00AD2082">
              <w:rPr>
                <w:noProof/>
                <w:webHidden/>
              </w:rPr>
              <w:fldChar w:fldCharType="end"/>
            </w:r>
          </w:hyperlink>
        </w:p>
        <w:p w14:paraId="2F4E45F8" w14:textId="3A1443E4" w:rsidR="00AD2082" w:rsidRDefault="00000000">
          <w:pPr>
            <w:pStyle w:val="TM3"/>
            <w:tabs>
              <w:tab w:val="left" w:pos="880"/>
              <w:tab w:val="right" w:leader="dot" w:pos="9062"/>
            </w:tabs>
            <w:rPr>
              <w:noProof/>
              <w:sz w:val="22"/>
              <w:szCs w:val="22"/>
              <w:lang w:eastAsia="fr-FR"/>
            </w:rPr>
          </w:pPr>
          <w:hyperlink w:anchor="_Toc115689850" w:history="1">
            <w:r w:rsidR="00AD2082" w:rsidRPr="00AC5B4D">
              <w:rPr>
                <w:rStyle w:val="Lienhypertexte"/>
                <w:rFonts w:ascii="Calibri" w:hAnsi="Calibri" w:cs="Calibri"/>
                <w:noProof/>
              </w:rPr>
              <w:t>B.</w:t>
            </w:r>
            <w:r w:rsidR="00AD2082">
              <w:rPr>
                <w:noProof/>
                <w:sz w:val="22"/>
                <w:szCs w:val="22"/>
                <w:lang w:eastAsia="fr-FR"/>
              </w:rPr>
              <w:tab/>
            </w:r>
            <w:r w:rsidR="00AD2082" w:rsidRPr="00AC5B4D">
              <w:rPr>
                <w:rStyle w:val="Lienhypertexte"/>
                <w:rFonts w:ascii="Calibri" w:hAnsi="Calibri" w:cs="Calibri"/>
                <w:noProof/>
              </w:rPr>
              <w:t>El Bitcoin en el derecho</w:t>
            </w:r>
            <w:r w:rsidR="00AD2082">
              <w:rPr>
                <w:noProof/>
                <w:webHidden/>
              </w:rPr>
              <w:tab/>
            </w:r>
            <w:r w:rsidR="00AD2082">
              <w:rPr>
                <w:noProof/>
                <w:webHidden/>
              </w:rPr>
              <w:fldChar w:fldCharType="begin"/>
            </w:r>
            <w:r w:rsidR="00AD2082">
              <w:rPr>
                <w:noProof/>
                <w:webHidden/>
              </w:rPr>
              <w:instrText xml:space="preserve"> PAGEREF _Toc115689850 \h </w:instrText>
            </w:r>
            <w:r w:rsidR="00AD2082">
              <w:rPr>
                <w:noProof/>
                <w:webHidden/>
              </w:rPr>
            </w:r>
            <w:r w:rsidR="00AD2082">
              <w:rPr>
                <w:noProof/>
                <w:webHidden/>
              </w:rPr>
              <w:fldChar w:fldCharType="separate"/>
            </w:r>
            <w:r w:rsidR="00AD2082">
              <w:rPr>
                <w:noProof/>
                <w:webHidden/>
              </w:rPr>
              <w:t>5</w:t>
            </w:r>
            <w:r w:rsidR="00AD2082">
              <w:rPr>
                <w:noProof/>
                <w:webHidden/>
              </w:rPr>
              <w:fldChar w:fldCharType="end"/>
            </w:r>
          </w:hyperlink>
        </w:p>
        <w:p w14:paraId="68DF13E2" w14:textId="06517337" w:rsidR="00AD2082" w:rsidRDefault="00000000">
          <w:pPr>
            <w:pStyle w:val="TM3"/>
            <w:tabs>
              <w:tab w:val="left" w:pos="880"/>
              <w:tab w:val="right" w:leader="dot" w:pos="9062"/>
            </w:tabs>
            <w:rPr>
              <w:noProof/>
              <w:sz w:val="22"/>
              <w:szCs w:val="22"/>
              <w:lang w:eastAsia="fr-FR"/>
            </w:rPr>
          </w:pPr>
          <w:hyperlink w:anchor="_Toc115689851" w:history="1">
            <w:r w:rsidR="00AD2082" w:rsidRPr="00AC5B4D">
              <w:rPr>
                <w:rStyle w:val="Lienhypertexte"/>
                <w:rFonts w:ascii="Calibri" w:hAnsi="Calibri" w:cs="Calibri"/>
                <w:noProof/>
                <w:lang w:val="es-AR"/>
              </w:rPr>
              <w:t>C.</w:t>
            </w:r>
            <w:r w:rsidR="00AD2082">
              <w:rPr>
                <w:noProof/>
                <w:sz w:val="22"/>
                <w:szCs w:val="22"/>
                <w:lang w:eastAsia="fr-FR"/>
              </w:rPr>
              <w:tab/>
            </w:r>
            <w:r w:rsidR="00AD2082" w:rsidRPr="00AC5B4D">
              <w:rPr>
                <w:rStyle w:val="Lienhypertexte"/>
                <w:rFonts w:ascii="Calibri" w:hAnsi="Calibri" w:cs="Calibri"/>
                <w:noProof/>
              </w:rPr>
              <w:t>Evolución de las profesiones de notaria y de gestión de patrimonio</w:t>
            </w:r>
            <w:r w:rsidR="00AD2082">
              <w:rPr>
                <w:noProof/>
                <w:webHidden/>
              </w:rPr>
              <w:tab/>
            </w:r>
            <w:r w:rsidR="00AD2082">
              <w:rPr>
                <w:noProof/>
                <w:webHidden/>
              </w:rPr>
              <w:fldChar w:fldCharType="begin"/>
            </w:r>
            <w:r w:rsidR="00AD2082">
              <w:rPr>
                <w:noProof/>
                <w:webHidden/>
              </w:rPr>
              <w:instrText xml:space="preserve"> PAGEREF _Toc115689851 \h </w:instrText>
            </w:r>
            <w:r w:rsidR="00AD2082">
              <w:rPr>
                <w:noProof/>
                <w:webHidden/>
              </w:rPr>
            </w:r>
            <w:r w:rsidR="00AD2082">
              <w:rPr>
                <w:noProof/>
                <w:webHidden/>
              </w:rPr>
              <w:fldChar w:fldCharType="separate"/>
            </w:r>
            <w:r w:rsidR="00AD2082">
              <w:rPr>
                <w:noProof/>
                <w:webHidden/>
              </w:rPr>
              <w:t>6</w:t>
            </w:r>
            <w:r w:rsidR="00AD2082">
              <w:rPr>
                <w:noProof/>
                <w:webHidden/>
              </w:rPr>
              <w:fldChar w:fldCharType="end"/>
            </w:r>
          </w:hyperlink>
        </w:p>
        <w:p w14:paraId="510AA84E" w14:textId="7CF64B27" w:rsidR="00AD2082" w:rsidRDefault="00000000">
          <w:pPr>
            <w:pStyle w:val="TM2"/>
            <w:tabs>
              <w:tab w:val="left" w:pos="660"/>
              <w:tab w:val="right" w:leader="dot" w:pos="9062"/>
            </w:tabs>
            <w:rPr>
              <w:noProof/>
              <w:sz w:val="22"/>
              <w:szCs w:val="22"/>
              <w:lang w:eastAsia="fr-FR"/>
            </w:rPr>
          </w:pPr>
          <w:hyperlink w:anchor="_Toc115689852" w:history="1">
            <w:r w:rsidR="00AD2082" w:rsidRPr="00AC5B4D">
              <w:rPr>
                <w:rStyle w:val="Lienhypertexte"/>
                <w:rFonts w:ascii="Calibri" w:hAnsi="Calibri" w:cs="Calibri"/>
                <w:caps/>
                <w:noProof/>
                <w:lang w:val="es-AR"/>
              </w:rPr>
              <w:t>II.</w:t>
            </w:r>
            <w:r w:rsidR="00AD2082">
              <w:rPr>
                <w:noProof/>
                <w:sz w:val="22"/>
                <w:szCs w:val="22"/>
                <w:lang w:eastAsia="fr-FR"/>
              </w:rPr>
              <w:tab/>
            </w:r>
            <w:r w:rsidR="00AD2082" w:rsidRPr="00AC5B4D">
              <w:rPr>
                <w:rStyle w:val="Lienhypertexte"/>
                <w:rFonts w:ascii="Calibri" w:hAnsi="Calibri" w:cs="Calibri"/>
                <w:caps/>
                <w:noProof/>
                <w:lang w:val="es-AR"/>
              </w:rPr>
              <w:t>¿Que sistema fiscal es aplicable para el individuo y para la empresa?</w:t>
            </w:r>
            <w:r w:rsidR="00AD2082">
              <w:rPr>
                <w:noProof/>
                <w:webHidden/>
              </w:rPr>
              <w:tab/>
            </w:r>
            <w:r w:rsidR="00AD2082">
              <w:rPr>
                <w:noProof/>
                <w:webHidden/>
              </w:rPr>
              <w:fldChar w:fldCharType="begin"/>
            </w:r>
            <w:r w:rsidR="00AD2082">
              <w:rPr>
                <w:noProof/>
                <w:webHidden/>
              </w:rPr>
              <w:instrText xml:space="preserve"> PAGEREF _Toc115689852 \h </w:instrText>
            </w:r>
            <w:r w:rsidR="00AD2082">
              <w:rPr>
                <w:noProof/>
                <w:webHidden/>
              </w:rPr>
            </w:r>
            <w:r w:rsidR="00AD2082">
              <w:rPr>
                <w:noProof/>
                <w:webHidden/>
              </w:rPr>
              <w:fldChar w:fldCharType="separate"/>
            </w:r>
            <w:r w:rsidR="00AD2082">
              <w:rPr>
                <w:noProof/>
                <w:webHidden/>
              </w:rPr>
              <w:t>7</w:t>
            </w:r>
            <w:r w:rsidR="00AD2082">
              <w:rPr>
                <w:noProof/>
                <w:webHidden/>
              </w:rPr>
              <w:fldChar w:fldCharType="end"/>
            </w:r>
          </w:hyperlink>
        </w:p>
        <w:p w14:paraId="20E7A50F" w14:textId="6657F130" w:rsidR="00AD2082" w:rsidRDefault="00000000">
          <w:pPr>
            <w:pStyle w:val="TM3"/>
            <w:tabs>
              <w:tab w:val="left" w:pos="880"/>
              <w:tab w:val="right" w:leader="dot" w:pos="9062"/>
            </w:tabs>
            <w:rPr>
              <w:noProof/>
              <w:sz w:val="22"/>
              <w:szCs w:val="22"/>
              <w:lang w:eastAsia="fr-FR"/>
            </w:rPr>
          </w:pPr>
          <w:hyperlink w:anchor="_Toc115689853" w:history="1">
            <w:r w:rsidR="00AD2082" w:rsidRPr="00AC5B4D">
              <w:rPr>
                <w:rStyle w:val="Lienhypertexte"/>
                <w:rFonts w:ascii="Calibri" w:hAnsi="Calibri" w:cs="Calibri"/>
                <w:noProof/>
              </w:rPr>
              <w:t>A.</w:t>
            </w:r>
            <w:r w:rsidR="00AD2082">
              <w:rPr>
                <w:noProof/>
                <w:sz w:val="22"/>
                <w:szCs w:val="22"/>
                <w:lang w:eastAsia="fr-FR"/>
              </w:rPr>
              <w:tab/>
            </w:r>
            <w:r w:rsidR="00AD2082" w:rsidRPr="00AC5B4D">
              <w:rPr>
                <w:rStyle w:val="Lienhypertexte"/>
                <w:rFonts w:ascii="Calibri" w:hAnsi="Calibri" w:cs="Calibri"/>
                <w:noProof/>
              </w:rPr>
              <w:t>Fiscalidad de las personas físicas</w:t>
            </w:r>
            <w:r w:rsidR="00AD2082">
              <w:rPr>
                <w:noProof/>
                <w:webHidden/>
              </w:rPr>
              <w:tab/>
            </w:r>
            <w:r w:rsidR="00AD2082">
              <w:rPr>
                <w:noProof/>
                <w:webHidden/>
              </w:rPr>
              <w:fldChar w:fldCharType="begin"/>
            </w:r>
            <w:r w:rsidR="00AD2082">
              <w:rPr>
                <w:noProof/>
                <w:webHidden/>
              </w:rPr>
              <w:instrText xml:space="preserve"> PAGEREF _Toc115689853 \h </w:instrText>
            </w:r>
            <w:r w:rsidR="00AD2082">
              <w:rPr>
                <w:noProof/>
                <w:webHidden/>
              </w:rPr>
            </w:r>
            <w:r w:rsidR="00AD2082">
              <w:rPr>
                <w:noProof/>
                <w:webHidden/>
              </w:rPr>
              <w:fldChar w:fldCharType="separate"/>
            </w:r>
            <w:r w:rsidR="00AD2082">
              <w:rPr>
                <w:noProof/>
                <w:webHidden/>
              </w:rPr>
              <w:t>7</w:t>
            </w:r>
            <w:r w:rsidR="00AD2082">
              <w:rPr>
                <w:noProof/>
                <w:webHidden/>
              </w:rPr>
              <w:fldChar w:fldCharType="end"/>
            </w:r>
          </w:hyperlink>
        </w:p>
        <w:p w14:paraId="71B3F96D" w14:textId="58E9836B" w:rsidR="00AD2082" w:rsidRDefault="00000000">
          <w:pPr>
            <w:pStyle w:val="TM3"/>
            <w:tabs>
              <w:tab w:val="left" w:pos="880"/>
              <w:tab w:val="right" w:leader="dot" w:pos="9062"/>
            </w:tabs>
            <w:rPr>
              <w:noProof/>
              <w:sz w:val="22"/>
              <w:szCs w:val="22"/>
              <w:lang w:eastAsia="fr-FR"/>
            </w:rPr>
          </w:pPr>
          <w:hyperlink w:anchor="_Toc115689854" w:history="1">
            <w:r w:rsidR="00AD2082" w:rsidRPr="00AC5B4D">
              <w:rPr>
                <w:rStyle w:val="Lienhypertexte"/>
                <w:rFonts w:ascii="Calibri" w:hAnsi="Calibri" w:cs="Calibri"/>
                <w:noProof/>
              </w:rPr>
              <w:t>B.</w:t>
            </w:r>
            <w:r w:rsidR="00AD2082">
              <w:rPr>
                <w:noProof/>
                <w:sz w:val="22"/>
                <w:szCs w:val="22"/>
                <w:lang w:eastAsia="fr-FR"/>
              </w:rPr>
              <w:tab/>
            </w:r>
            <w:r w:rsidR="00AD2082" w:rsidRPr="00AC5B4D">
              <w:rPr>
                <w:rStyle w:val="Lienhypertexte"/>
                <w:rFonts w:ascii="Calibri" w:hAnsi="Calibri" w:cs="Calibri"/>
                <w:noProof/>
              </w:rPr>
              <w:t>Fiscalidad de la empresa</w:t>
            </w:r>
            <w:r w:rsidR="00AD2082">
              <w:rPr>
                <w:noProof/>
                <w:webHidden/>
              </w:rPr>
              <w:tab/>
            </w:r>
            <w:r w:rsidR="00AD2082">
              <w:rPr>
                <w:noProof/>
                <w:webHidden/>
              </w:rPr>
              <w:fldChar w:fldCharType="begin"/>
            </w:r>
            <w:r w:rsidR="00AD2082">
              <w:rPr>
                <w:noProof/>
                <w:webHidden/>
              </w:rPr>
              <w:instrText xml:space="preserve"> PAGEREF _Toc115689854 \h </w:instrText>
            </w:r>
            <w:r w:rsidR="00AD2082">
              <w:rPr>
                <w:noProof/>
                <w:webHidden/>
              </w:rPr>
            </w:r>
            <w:r w:rsidR="00AD2082">
              <w:rPr>
                <w:noProof/>
                <w:webHidden/>
              </w:rPr>
              <w:fldChar w:fldCharType="separate"/>
            </w:r>
            <w:r w:rsidR="00AD2082">
              <w:rPr>
                <w:noProof/>
                <w:webHidden/>
              </w:rPr>
              <w:t>8</w:t>
            </w:r>
            <w:r w:rsidR="00AD2082">
              <w:rPr>
                <w:noProof/>
                <w:webHidden/>
              </w:rPr>
              <w:fldChar w:fldCharType="end"/>
            </w:r>
          </w:hyperlink>
        </w:p>
        <w:p w14:paraId="2074C7A8" w14:textId="7832E25E" w:rsidR="00AD2082" w:rsidRDefault="00000000">
          <w:pPr>
            <w:pStyle w:val="TM2"/>
            <w:tabs>
              <w:tab w:val="left" w:pos="660"/>
              <w:tab w:val="right" w:leader="dot" w:pos="9062"/>
            </w:tabs>
            <w:rPr>
              <w:noProof/>
              <w:sz w:val="22"/>
              <w:szCs w:val="22"/>
              <w:lang w:eastAsia="fr-FR"/>
            </w:rPr>
          </w:pPr>
          <w:hyperlink w:anchor="_Toc115689855" w:history="1">
            <w:r w:rsidR="00AD2082" w:rsidRPr="00AC5B4D">
              <w:rPr>
                <w:rStyle w:val="Lienhypertexte"/>
                <w:rFonts w:ascii="Calibri" w:hAnsi="Calibri" w:cs="Calibri"/>
                <w:caps/>
                <w:noProof/>
                <w:lang w:val="es-AR"/>
              </w:rPr>
              <w:t>C.</w:t>
            </w:r>
            <w:r w:rsidR="00AD2082">
              <w:rPr>
                <w:noProof/>
                <w:sz w:val="22"/>
                <w:szCs w:val="22"/>
                <w:lang w:eastAsia="fr-FR"/>
              </w:rPr>
              <w:tab/>
            </w:r>
            <w:r w:rsidR="00AD2082" w:rsidRPr="00AC5B4D">
              <w:rPr>
                <w:rStyle w:val="Lienhypertexte"/>
                <w:rFonts w:ascii="Calibri" w:hAnsi="Calibri" w:cs="Calibri"/>
                <w:caps/>
                <w:noProof/>
                <w:lang w:val="es-AR"/>
              </w:rPr>
              <w:t>¿Cuáles son las principales dificultades que encuentran los profesionales del sector?</w:t>
            </w:r>
            <w:r w:rsidR="00AD2082">
              <w:rPr>
                <w:noProof/>
                <w:webHidden/>
              </w:rPr>
              <w:tab/>
            </w:r>
            <w:r w:rsidR="00AD2082">
              <w:rPr>
                <w:noProof/>
                <w:webHidden/>
              </w:rPr>
              <w:fldChar w:fldCharType="begin"/>
            </w:r>
            <w:r w:rsidR="00AD2082">
              <w:rPr>
                <w:noProof/>
                <w:webHidden/>
              </w:rPr>
              <w:instrText xml:space="preserve"> PAGEREF _Toc115689855 \h </w:instrText>
            </w:r>
            <w:r w:rsidR="00AD2082">
              <w:rPr>
                <w:noProof/>
                <w:webHidden/>
              </w:rPr>
            </w:r>
            <w:r w:rsidR="00AD2082">
              <w:rPr>
                <w:noProof/>
                <w:webHidden/>
              </w:rPr>
              <w:fldChar w:fldCharType="separate"/>
            </w:r>
            <w:r w:rsidR="00AD2082">
              <w:rPr>
                <w:noProof/>
                <w:webHidden/>
              </w:rPr>
              <w:t>9</w:t>
            </w:r>
            <w:r w:rsidR="00AD2082">
              <w:rPr>
                <w:noProof/>
                <w:webHidden/>
              </w:rPr>
              <w:fldChar w:fldCharType="end"/>
            </w:r>
          </w:hyperlink>
        </w:p>
        <w:p w14:paraId="3B1C31A7" w14:textId="40EA6A21" w:rsidR="00AD2082" w:rsidRDefault="00000000">
          <w:pPr>
            <w:pStyle w:val="TM3"/>
            <w:tabs>
              <w:tab w:val="left" w:pos="880"/>
              <w:tab w:val="right" w:leader="dot" w:pos="9062"/>
            </w:tabs>
            <w:rPr>
              <w:noProof/>
              <w:sz w:val="22"/>
              <w:szCs w:val="22"/>
              <w:lang w:eastAsia="fr-FR"/>
            </w:rPr>
          </w:pPr>
          <w:hyperlink w:anchor="_Toc115689856" w:history="1">
            <w:r w:rsidR="00AD2082" w:rsidRPr="00AC5B4D">
              <w:rPr>
                <w:rStyle w:val="Lienhypertexte"/>
                <w:rFonts w:ascii="Calibri" w:hAnsi="Calibri" w:cs="Calibri"/>
                <w:noProof/>
                <w:lang w:val="es-AR"/>
              </w:rPr>
              <w:t>A.</w:t>
            </w:r>
            <w:r w:rsidR="00AD2082">
              <w:rPr>
                <w:noProof/>
                <w:sz w:val="22"/>
                <w:szCs w:val="22"/>
                <w:lang w:eastAsia="fr-FR"/>
              </w:rPr>
              <w:tab/>
            </w:r>
            <w:r w:rsidR="00AD2082" w:rsidRPr="00AC5B4D">
              <w:rPr>
                <w:rStyle w:val="Lienhypertexte"/>
                <w:rFonts w:ascii="Calibri" w:hAnsi="Calibri" w:cs="Calibri"/>
                <w:noProof/>
              </w:rPr>
              <w:t>Procedimiento de registro y acreditación</w:t>
            </w:r>
            <w:r w:rsidR="00AD2082">
              <w:rPr>
                <w:noProof/>
                <w:webHidden/>
              </w:rPr>
              <w:tab/>
            </w:r>
            <w:r w:rsidR="00AD2082">
              <w:rPr>
                <w:noProof/>
                <w:webHidden/>
              </w:rPr>
              <w:fldChar w:fldCharType="begin"/>
            </w:r>
            <w:r w:rsidR="00AD2082">
              <w:rPr>
                <w:noProof/>
                <w:webHidden/>
              </w:rPr>
              <w:instrText xml:space="preserve"> PAGEREF _Toc115689856 \h </w:instrText>
            </w:r>
            <w:r w:rsidR="00AD2082">
              <w:rPr>
                <w:noProof/>
                <w:webHidden/>
              </w:rPr>
            </w:r>
            <w:r w:rsidR="00AD2082">
              <w:rPr>
                <w:noProof/>
                <w:webHidden/>
              </w:rPr>
              <w:fldChar w:fldCharType="separate"/>
            </w:r>
            <w:r w:rsidR="00AD2082">
              <w:rPr>
                <w:noProof/>
                <w:webHidden/>
              </w:rPr>
              <w:t>9</w:t>
            </w:r>
            <w:r w:rsidR="00AD2082">
              <w:rPr>
                <w:noProof/>
                <w:webHidden/>
              </w:rPr>
              <w:fldChar w:fldCharType="end"/>
            </w:r>
          </w:hyperlink>
        </w:p>
        <w:p w14:paraId="43A9A14B" w14:textId="7F7BD383" w:rsidR="00AD2082" w:rsidRDefault="00000000">
          <w:pPr>
            <w:pStyle w:val="TM3"/>
            <w:tabs>
              <w:tab w:val="left" w:pos="880"/>
              <w:tab w:val="right" w:leader="dot" w:pos="9062"/>
            </w:tabs>
            <w:rPr>
              <w:noProof/>
              <w:sz w:val="22"/>
              <w:szCs w:val="22"/>
              <w:lang w:eastAsia="fr-FR"/>
            </w:rPr>
          </w:pPr>
          <w:hyperlink w:anchor="_Toc115689857" w:history="1">
            <w:r w:rsidR="00AD2082" w:rsidRPr="00AC5B4D">
              <w:rPr>
                <w:rStyle w:val="Lienhypertexte"/>
                <w:rFonts w:ascii="Calibri" w:hAnsi="Calibri" w:cs="Calibri"/>
                <w:noProof/>
              </w:rPr>
              <w:t>B.</w:t>
            </w:r>
            <w:r w:rsidR="00AD2082">
              <w:rPr>
                <w:noProof/>
                <w:sz w:val="22"/>
                <w:szCs w:val="22"/>
                <w:lang w:eastAsia="fr-FR"/>
              </w:rPr>
              <w:tab/>
            </w:r>
            <w:r w:rsidR="00AD2082" w:rsidRPr="00AC5B4D">
              <w:rPr>
                <w:rStyle w:val="Lienhypertexte"/>
                <w:rFonts w:ascii="Calibri" w:hAnsi="Calibri" w:cs="Calibri"/>
                <w:noProof/>
              </w:rPr>
              <w:t>El derecho a la cuenta</w:t>
            </w:r>
            <w:r w:rsidR="00AD2082">
              <w:rPr>
                <w:noProof/>
                <w:webHidden/>
              </w:rPr>
              <w:tab/>
            </w:r>
            <w:r w:rsidR="00AD2082">
              <w:rPr>
                <w:noProof/>
                <w:webHidden/>
              </w:rPr>
              <w:fldChar w:fldCharType="begin"/>
            </w:r>
            <w:r w:rsidR="00AD2082">
              <w:rPr>
                <w:noProof/>
                <w:webHidden/>
              </w:rPr>
              <w:instrText xml:space="preserve"> PAGEREF _Toc115689857 \h </w:instrText>
            </w:r>
            <w:r w:rsidR="00AD2082">
              <w:rPr>
                <w:noProof/>
                <w:webHidden/>
              </w:rPr>
            </w:r>
            <w:r w:rsidR="00AD2082">
              <w:rPr>
                <w:noProof/>
                <w:webHidden/>
              </w:rPr>
              <w:fldChar w:fldCharType="separate"/>
            </w:r>
            <w:r w:rsidR="00AD2082">
              <w:rPr>
                <w:noProof/>
                <w:webHidden/>
              </w:rPr>
              <w:t>9</w:t>
            </w:r>
            <w:r w:rsidR="00AD2082">
              <w:rPr>
                <w:noProof/>
                <w:webHidden/>
              </w:rPr>
              <w:fldChar w:fldCharType="end"/>
            </w:r>
          </w:hyperlink>
        </w:p>
        <w:p w14:paraId="5D9D9AFA" w14:textId="266BCE38" w:rsidR="00AD2082" w:rsidRDefault="00000000">
          <w:pPr>
            <w:pStyle w:val="TM3"/>
            <w:tabs>
              <w:tab w:val="left" w:pos="880"/>
              <w:tab w:val="right" w:leader="dot" w:pos="9062"/>
            </w:tabs>
            <w:rPr>
              <w:noProof/>
              <w:sz w:val="22"/>
              <w:szCs w:val="22"/>
              <w:lang w:eastAsia="fr-FR"/>
            </w:rPr>
          </w:pPr>
          <w:hyperlink w:anchor="_Toc115689858" w:history="1">
            <w:r w:rsidR="00AD2082" w:rsidRPr="00AC5B4D">
              <w:rPr>
                <w:rStyle w:val="Lienhypertexte"/>
                <w:rFonts w:ascii="Calibri" w:hAnsi="Calibri" w:cs="Calibri"/>
                <w:noProof/>
              </w:rPr>
              <w:t>C.</w:t>
            </w:r>
            <w:r w:rsidR="00AD2082">
              <w:rPr>
                <w:noProof/>
                <w:sz w:val="22"/>
                <w:szCs w:val="22"/>
                <w:lang w:eastAsia="fr-FR"/>
              </w:rPr>
              <w:tab/>
            </w:r>
            <w:r w:rsidR="00AD2082" w:rsidRPr="00AC5B4D">
              <w:rPr>
                <w:rStyle w:val="Lienhypertexte"/>
                <w:rFonts w:ascii="Calibri" w:hAnsi="Calibri" w:cs="Calibri"/>
                <w:noProof/>
              </w:rPr>
              <w:t>Seguros</w:t>
            </w:r>
            <w:r w:rsidR="00AD2082">
              <w:rPr>
                <w:noProof/>
                <w:webHidden/>
              </w:rPr>
              <w:tab/>
            </w:r>
            <w:r w:rsidR="00AD2082">
              <w:rPr>
                <w:noProof/>
                <w:webHidden/>
              </w:rPr>
              <w:fldChar w:fldCharType="begin"/>
            </w:r>
            <w:r w:rsidR="00AD2082">
              <w:rPr>
                <w:noProof/>
                <w:webHidden/>
              </w:rPr>
              <w:instrText xml:space="preserve"> PAGEREF _Toc115689858 \h </w:instrText>
            </w:r>
            <w:r w:rsidR="00AD2082">
              <w:rPr>
                <w:noProof/>
                <w:webHidden/>
              </w:rPr>
            </w:r>
            <w:r w:rsidR="00AD2082">
              <w:rPr>
                <w:noProof/>
                <w:webHidden/>
              </w:rPr>
              <w:fldChar w:fldCharType="separate"/>
            </w:r>
            <w:r w:rsidR="00AD2082">
              <w:rPr>
                <w:noProof/>
                <w:webHidden/>
              </w:rPr>
              <w:t>10</w:t>
            </w:r>
            <w:r w:rsidR="00AD2082">
              <w:rPr>
                <w:noProof/>
                <w:webHidden/>
              </w:rPr>
              <w:fldChar w:fldCharType="end"/>
            </w:r>
          </w:hyperlink>
        </w:p>
        <w:p w14:paraId="024F55C5" w14:textId="73188CAF" w:rsidR="00AD2082" w:rsidRDefault="00000000">
          <w:pPr>
            <w:pStyle w:val="TM2"/>
            <w:tabs>
              <w:tab w:val="right" w:leader="dot" w:pos="9062"/>
            </w:tabs>
            <w:rPr>
              <w:noProof/>
              <w:sz w:val="22"/>
              <w:szCs w:val="22"/>
              <w:lang w:eastAsia="fr-FR"/>
            </w:rPr>
          </w:pPr>
          <w:hyperlink w:anchor="_Toc115689859" w:history="1">
            <w:r w:rsidR="00AD2082" w:rsidRPr="00AC5B4D">
              <w:rPr>
                <w:rStyle w:val="Lienhypertexte"/>
                <w:rFonts w:ascii="Calibri" w:hAnsi="Calibri" w:cs="Calibri"/>
                <w:caps/>
                <w:noProof/>
                <w:lang w:val="es-AR"/>
              </w:rPr>
              <w:t>Conclusión</w:t>
            </w:r>
            <w:r w:rsidR="00AD2082">
              <w:rPr>
                <w:noProof/>
                <w:webHidden/>
              </w:rPr>
              <w:tab/>
            </w:r>
            <w:r w:rsidR="00AD2082">
              <w:rPr>
                <w:noProof/>
                <w:webHidden/>
              </w:rPr>
              <w:fldChar w:fldCharType="begin"/>
            </w:r>
            <w:r w:rsidR="00AD2082">
              <w:rPr>
                <w:noProof/>
                <w:webHidden/>
              </w:rPr>
              <w:instrText xml:space="preserve"> PAGEREF _Toc115689859 \h </w:instrText>
            </w:r>
            <w:r w:rsidR="00AD2082">
              <w:rPr>
                <w:noProof/>
                <w:webHidden/>
              </w:rPr>
            </w:r>
            <w:r w:rsidR="00AD2082">
              <w:rPr>
                <w:noProof/>
                <w:webHidden/>
              </w:rPr>
              <w:fldChar w:fldCharType="separate"/>
            </w:r>
            <w:r w:rsidR="00AD2082">
              <w:rPr>
                <w:noProof/>
                <w:webHidden/>
              </w:rPr>
              <w:t>11</w:t>
            </w:r>
            <w:r w:rsidR="00AD2082">
              <w:rPr>
                <w:noProof/>
                <w:webHidden/>
              </w:rPr>
              <w:fldChar w:fldCharType="end"/>
            </w:r>
          </w:hyperlink>
        </w:p>
        <w:p w14:paraId="0B8122B1" w14:textId="32F96CB9" w:rsidR="00AD2082" w:rsidRDefault="00000000" w:rsidP="00596856">
          <w:pPr>
            <w:pStyle w:val="TM2"/>
            <w:tabs>
              <w:tab w:val="right" w:leader="dot" w:pos="9062"/>
            </w:tabs>
            <w:rPr>
              <w:noProof/>
              <w:sz w:val="22"/>
              <w:szCs w:val="22"/>
              <w:lang w:eastAsia="fr-FR"/>
            </w:rPr>
          </w:pPr>
          <w:hyperlink w:anchor="_Toc115689860" w:history="1">
            <w:r w:rsidR="00AD2082" w:rsidRPr="00AC5B4D">
              <w:rPr>
                <w:rStyle w:val="Lienhypertexte"/>
                <w:rFonts w:ascii="Calibri" w:hAnsi="Calibri" w:cs="Calibri"/>
                <w:noProof/>
                <w:lang w:val="es-AR"/>
              </w:rPr>
              <w:t>Apéndice: Cuadro representativo del ecosistema francés</w:t>
            </w:r>
            <w:r w:rsidR="00AD2082">
              <w:rPr>
                <w:noProof/>
                <w:webHidden/>
              </w:rPr>
              <w:tab/>
            </w:r>
            <w:r w:rsidR="00AD2082">
              <w:rPr>
                <w:noProof/>
                <w:webHidden/>
              </w:rPr>
              <w:fldChar w:fldCharType="begin"/>
            </w:r>
            <w:r w:rsidR="00AD2082">
              <w:rPr>
                <w:noProof/>
                <w:webHidden/>
              </w:rPr>
              <w:instrText xml:space="preserve"> PAGEREF _Toc115689860 \h </w:instrText>
            </w:r>
            <w:r w:rsidR="00AD2082">
              <w:rPr>
                <w:noProof/>
                <w:webHidden/>
              </w:rPr>
            </w:r>
            <w:r w:rsidR="00AD2082">
              <w:rPr>
                <w:noProof/>
                <w:webHidden/>
              </w:rPr>
              <w:fldChar w:fldCharType="separate"/>
            </w:r>
            <w:r w:rsidR="00AD2082">
              <w:rPr>
                <w:noProof/>
                <w:webHidden/>
              </w:rPr>
              <w:t>12</w:t>
            </w:r>
            <w:r w:rsidR="00AD2082">
              <w:rPr>
                <w:noProof/>
                <w:webHidden/>
              </w:rPr>
              <w:fldChar w:fldCharType="end"/>
            </w:r>
          </w:hyperlink>
        </w:p>
        <w:p w14:paraId="741C8B9B" w14:textId="45F71709" w:rsidR="00AD2082" w:rsidRDefault="00000000">
          <w:pPr>
            <w:pStyle w:val="TM2"/>
            <w:tabs>
              <w:tab w:val="right" w:leader="dot" w:pos="9062"/>
            </w:tabs>
            <w:rPr>
              <w:noProof/>
              <w:sz w:val="22"/>
              <w:szCs w:val="22"/>
              <w:lang w:eastAsia="fr-FR"/>
            </w:rPr>
          </w:pPr>
          <w:hyperlink w:anchor="_Toc115689862" w:history="1">
            <w:r w:rsidR="00AD2082" w:rsidRPr="00AC5B4D">
              <w:rPr>
                <w:rStyle w:val="Lienhypertexte"/>
                <w:rFonts w:ascii="Calibri" w:hAnsi="Calibri" w:cs="Calibri"/>
                <w:noProof/>
                <w:lang w:val="es-AR"/>
              </w:rPr>
              <w:t>Bibliografía</w:t>
            </w:r>
            <w:r w:rsidR="00AD2082">
              <w:rPr>
                <w:noProof/>
                <w:webHidden/>
              </w:rPr>
              <w:tab/>
            </w:r>
            <w:r w:rsidR="00AD2082">
              <w:rPr>
                <w:noProof/>
                <w:webHidden/>
              </w:rPr>
              <w:fldChar w:fldCharType="begin"/>
            </w:r>
            <w:r w:rsidR="00AD2082">
              <w:rPr>
                <w:noProof/>
                <w:webHidden/>
              </w:rPr>
              <w:instrText xml:space="preserve"> PAGEREF _Toc115689862 \h </w:instrText>
            </w:r>
            <w:r w:rsidR="00AD2082">
              <w:rPr>
                <w:noProof/>
                <w:webHidden/>
              </w:rPr>
            </w:r>
            <w:r w:rsidR="00AD2082">
              <w:rPr>
                <w:noProof/>
                <w:webHidden/>
              </w:rPr>
              <w:fldChar w:fldCharType="separate"/>
            </w:r>
            <w:r w:rsidR="00AD2082">
              <w:rPr>
                <w:noProof/>
                <w:webHidden/>
              </w:rPr>
              <w:t>13</w:t>
            </w:r>
            <w:r w:rsidR="00AD2082">
              <w:rPr>
                <w:noProof/>
                <w:webHidden/>
              </w:rPr>
              <w:fldChar w:fldCharType="end"/>
            </w:r>
          </w:hyperlink>
        </w:p>
        <w:p w14:paraId="5DB2238B" w14:textId="333B8A5D" w:rsidR="00AD2082" w:rsidRDefault="00AD2082">
          <w:r>
            <w:rPr>
              <w:b/>
              <w:bCs/>
            </w:rPr>
            <w:fldChar w:fldCharType="end"/>
          </w:r>
        </w:p>
      </w:sdtContent>
    </w:sdt>
    <w:p w14:paraId="6019DBE6" w14:textId="5B15E7CF" w:rsidR="00025EF7" w:rsidRDefault="00025EF7">
      <w:pPr>
        <w:rPr>
          <w:rFonts w:ascii="Calibri" w:hAnsi="Calibri" w:cs="Calibri"/>
          <w:sz w:val="22"/>
          <w:szCs w:val="22"/>
          <w:lang w:val="es-AR"/>
        </w:rPr>
      </w:pPr>
    </w:p>
    <w:p w14:paraId="726AE78F" w14:textId="0A42405B" w:rsidR="00025EF7" w:rsidRDefault="00025EF7">
      <w:pPr>
        <w:rPr>
          <w:rFonts w:ascii="Calibri" w:hAnsi="Calibri" w:cs="Calibri"/>
          <w:sz w:val="22"/>
          <w:szCs w:val="22"/>
          <w:lang w:val="es-AR"/>
        </w:rPr>
      </w:pPr>
    </w:p>
    <w:p w14:paraId="2AAB89A6" w14:textId="11CC6DB0" w:rsidR="00025EF7" w:rsidRDefault="00025EF7">
      <w:pPr>
        <w:rPr>
          <w:rFonts w:ascii="Calibri" w:hAnsi="Calibri" w:cs="Calibri"/>
          <w:sz w:val="22"/>
          <w:szCs w:val="22"/>
          <w:lang w:val="es-AR"/>
        </w:rPr>
      </w:pPr>
    </w:p>
    <w:p w14:paraId="6A98BE3E" w14:textId="00C75167" w:rsidR="00025EF7" w:rsidRDefault="00025EF7">
      <w:pPr>
        <w:rPr>
          <w:rFonts w:ascii="Calibri" w:hAnsi="Calibri" w:cs="Calibri"/>
          <w:sz w:val="22"/>
          <w:szCs w:val="22"/>
          <w:lang w:val="es-AR"/>
        </w:rPr>
      </w:pPr>
    </w:p>
    <w:p w14:paraId="798AA013" w14:textId="562BF9EE" w:rsidR="00025EF7" w:rsidRDefault="00025EF7">
      <w:pPr>
        <w:rPr>
          <w:rFonts w:ascii="Calibri" w:hAnsi="Calibri" w:cs="Calibri"/>
          <w:sz w:val="22"/>
          <w:szCs w:val="22"/>
          <w:lang w:val="es-AR"/>
        </w:rPr>
      </w:pPr>
    </w:p>
    <w:p w14:paraId="701FFC98" w14:textId="162A4AF5" w:rsidR="00025EF7" w:rsidRDefault="00025EF7">
      <w:pPr>
        <w:rPr>
          <w:rFonts w:ascii="Calibri" w:hAnsi="Calibri" w:cs="Calibri"/>
          <w:sz w:val="22"/>
          <w:szCs w:val="22"/>
          <w:lang w:val="es-AR"/>
        </w:rPr>
      </w:pPr>
      <w:r>
        <w:rPr>
          <w:rFonts w:ascii="Calibri" w:hAnsi="Calibri" w:cs="Calibri"/>
          <w:sz w:val="22"/>
          <w:szCs w:val="22"/>
          <w:lang w:val="es-AR"/>
        </w:rPr>
        <w:br w:type="page"/>
      </w:r>
    </w:p>
    <w:p w14:paraId="6F8A56AB" w14:textId="77777777" w:rsidR="00025EF7" w:rsidRDefault="00025EF7">
      <w:pPr>
        <w:rPr>
          <w:rFonts w:ascii="Calibri" w:hAnsi="Calibri" w:cs="Calibri"/>
          <w:sz w:val="22"/>
          <w:szCs w:val="22"/>
          <w:lang w:val="es-AR"/>
        </w:rPr>
      </w:pPr>
    </w:p>
    <w:p w14:paraId="6A621ECD" w14:textId="51448F3D" w:rsidR="00226AA4" w:rsidRDefault="00226AA4" w:rsidP="00ED3ED1">
      <w:pPr>
        <w:jc w:val="both"/>
        <w:rPr>
          <w:rFonts w:ascii="Calibri" w:hAnsi="Calibri" w:cs="Calibri"/>
          <w:sz w:val="22"/>
          <w:szCs w:val="22"/>
          <w:lang w:val="es-AR"/>
        </w:rPr>
      </w:pPr>
    </w:p>
    <w:p w14:paraId="4E37FF29" w14:textId="77777777" w:rsidR="00025EF7" w:rsidRPr="00A63F52" w:rsidRDefault="00025EF7" w:rsidP="00ED3ED1">
      <w:pPr>
        <w:jc w:val="both"/>
        <w:rPr>
          <w:rFonts w:ascii="Calibri" w:hAnsi="Calibri" w:cs="Calibri"/>
          <w:sz w:val="22"/>
          <w:szCs w:val="22"/>
          <w:lang w:val="es-AR"/>
        </w:rPr>
      </w:pPr>
    </w:p>
    <w:p w14:paraId="4A56B460" w14:textId="30DFCFED" w:rsidR="00BD2EEF" w:rsidRPr="00A63F52" w:rsidRDefault="00D8232E" w:rsidP="00E1688F">
      <w:pPr>
        <w:pStyle w:val="Titre2"/>
        <w:rPr>
          <w:rFonts w:ascii="Calibri" w:hAnsi="Calibri" w:cs="Calibri"/>
          <w:b/>
          <w:bCs/>
          <w:sz w:val="22"/>
          <w:szCs w:val="22"/>
          <w:lang w:val="es-AR"/>
        </w:rPr>
      </w:pPr>
      <w:bookmarkStart w:id="0" w:name="_Toc111047582"/>
      <w:bookmarkStart w:id="1" w:name="_Toc115689846"/>
      <w:r w:rsidRPr="00A63F52">
        <w:rPr>
          <w:rFonts w:ascii="Calibri" w:hAnsi="Calibri" w:cs="Calibri"/>
          <w:b/>
          <w:bCs/>
          <w:color w:val="auto"/>
          <w:sz w:val="22"/>
          <w:szCs w:val="22"/>
          <w:lang w:val="es-AR"/>
        </w:rPr>
        <w:t>RESUMEN</w:t>
      </w:r>
      <w:r w:rsidR="00E1688F" w:rsidRPr="00A63F52">
        <w:rPr>
          <w:rFonts w:ascii="Calibri" w:hAnsi="Calibri" w:cs="Calibri"/>
          <w:b/>
          <w:bCs/>
          <w:color w:val="auto"/>
          <w:sz w:val="22"/>
          <w:szCs w:val="22"/>
          <w:lang w:val="es-AR"/>
        </w:rPr>
        <w:t>:</w:t>
      </w:r>
      <w:bookmarkEnd w:id="0"/>
      <w:bookmarkEnd w:id="1"/>
      <w:r w:rsidR="00E4317D" w:rsidRPr="00A63F52">
        <w:rPr>
          <w:rFonts w:ascii="Calibri" w:hAnsi="Calibri" w:cs="Calibri"/>
          <w:b/>
          <w:bCs/>
          <w:sz w:val="22"/>
          <w:szCs w:val="22"/>
          <w:lang w:val="es-AR"/>
        </w:rPr>
        <w:t xml:space="preserve"> </w:t>
      </w:r>
    </w:p>
    <w:p w14:paraId="02B61071" w14:textId="77777777" w:rsidR="00025EF7" w:rsidRDefault="00025EF7" w:rsidP="00ED3ED1">
      <w:pPr>
        <w:jc w:val="both"/>
        <w:rPr>
          <w:rFonts w:ascii="Calibri" w:hAnsi="Calibri" w:cs="Calibri"/>
          <w:sz w:val="22"/>
          <w:szCs w:val="22"/>
          <w:lang w:val="es-AR"/>
        </w:rPr>
      </w:pPr>
    </w:p>
    <w:p w14:paraId="59EAE44F" w14:textId="23E426ED" w:rsidR="00AF3C9A" w:rsidRPr="00A63F52" w:rsidRDefault="00AF3C9A" w:rsidP="00ED3ED1">
      <w:pPr>
        <w:jc w:val="both"/>
        <w:rPr>
          <w:rFonts w:ascii="Calibri" w:hAnsi="Calibri" w:cs="Calibri"/>
          <w:sz w:val="22"/>
          <w:szCs w:val="22"/>
          <w:lang w:val="es-AR"/>
        </w:rPr>
      </w:pPr>
      <w:r w:rsidRPr="00A63F52">
        <w:rPr>
          <w:rFonts w:ascii="Calibri" w:hAnsi="Calibri" w:cs="Calibri"/>
          <w:sz w:val="22"/>
          <w:szCs w:val="22"/>
          <w:lang w:val="es-AR"/>
        </w:rPr>
        <w:t>Las criptomonedas están creciendo en Francia. Cada vez</w:t>
      </w:r>
      <w:r w:rsidR="00061374" w:rsidRPr="00A63F52">
        <w:rPr>
          <w:rFonts w:ascii="Calibri" w:hAnsi="Calibri" w:cs="Calibri"/>
          <w:sz w:val="22"/>
          <w:szCs w:val="22"/>
          <w:lang w:val="es-AR"/>
        </w:rPr>
        <w:t xml:space="preserve"> mas</w:t>
      </w:r>
      <w:r w:rsidRPr="00A63F52">
        <w:rPr>
          <w:rFonts w:ascii="Calibri" w:hAnsi="Calibri" w:cs="Calibri"/>
          <w:sz w:val="22"/>
          <w:szCs w:val="22"/>
          <w:lang w:val="es-AR"/>
        </w:rPr>
        <w:t xml:space="preserve"> personas se interesan e invierten en las llamadas </w:t>
      </w:r>
      <w:r w:rsidR="004634BC" w:rsidRPr="00A63F52">
        <w:rPr>
          <w:rFonts w:ascii="Calibri" w:hAnsi="Calibri" w:cs="Calibri"/>
          <w:sz w:val="22"/>
          <w:szCs w:val="22"/>
          <w:lang w:val="es-AR"/>
        </w:rPr>
        <w:t>“</w:t>
      </w:r>
      <w:r w:rsidRPr="00A63F52">
        <w:rPr>
          <w:rFonts w:ascii="Calibri" w:hAnsi="Calibri" w:cs="Calibri"/>
          <w:sz w:val="22"/>
          <w:szCs w:val="22"/>
          <w:lang w:val="es-AR"/>
        </w:rPr>
        <w:t>monedas virtuales</w:t>
      </w:r>
      <w:r w:rsidR="004634BC" w:rsidRPr="00A63F52">
        <w:rPr>
          <w:rFonts w:ascii="Calibri" w:hAnsi="Calibri" w:cs="Calibri"/>
          <w:sz w:val="22"/>
          <w:szCs w:val="22"/>
          <w:lang w:val="es-AR"/>
        </w:rPr>
        <w:t>” (criptomonedas)</w:t>
      </w:r>
      <w:r w:rsidRPr="00A63F52">
        <w:rPr>
          <w:rFonts w:ascii="Calibri" w:hAnsi="Calibri" w:cs="Calibri"/>
          <w:sz w:val="22"/>
          <w:szCs w:val="22"/>
          <w:lang w:val="es-AR"/>
        </w:rPr>
        <w:t xml:space="preserve">. </w:t>
      </w:r>
    </w:p>
    <w:p w14:paraId="23459087" w14:textId="206729B9" w:rsidR="00AF3C9A" w:rsidRPr="00A63F52" w:rsidRDefault="00AF3C9A" w:rsidP="00ED3ED1">
      <w:pPr>
        <w:jc w:val="both"/>
        <w:rPr>
          <w:rFonts w:ascii="Calibri" w:hAnsi="Calibri" w:cs="Calibri"/>
          <w:sz w:val="22"/>
          <w:szCs w:val="22"/>
          <w:lang w:val="es-AR"/>
        </w:rPr>
      </w:pPr>
      <w:r w:rsidRPr="00A63F52">
        <w:rPr>
          <w:rFonts w:ascii="Calibri" w:hAnsi="Calibri" w:cs="Calibri"/>
          <w:sz w:val="22"/>
          <w:szCs w:val="22"/>
          <w:lang w:val="es-AR"/>
        </w:rPr>
        <w:t>Francia ha sido pionera en la creación de un marco regulador para los cripto</w:t>
      </w:r>
      <w:r w:rsidR="004634BC" w:rsidRPr="00A63F52">
        <w:rPr>
          <w:rFonts w:ascii="Calibri" w:hAnsi="Calibri" w:cs="Calibri"/>
          <w:sz w:val="22"/>
          <w:szCs w:val="22"/>
          <w:lang w:val="es-AR"/>
        </w:rPr>
        <w:t>-</w:t>
      </w:r>
      <w:r w:rsidRPr="00A63F52">
        <w:rPr>
          <w:rFonts w:ascii="Calibri" w:hAnsi="Calibri" w:cs="Calibri"/>
          <w:sz w:val="22"/>
          <w:szCs w:val="22"/>
          <w:lang w:val="es-AR"/>
        </w:rPr>
        <w:t xml:space="preserve">activos. Este marco ha dado lugar a un nuevo actor en el ecosistema: el proveedor de servicios de activos digitales. También se ha creado un marco jurídico y fiscal. Lo definiremos y </w:t>
      </w:r>
      <w:r w:rsidR="004634BC" w:rsidRPr="00A63F52">
        <w:rPr>
          <w:rFonts w:ascii="Calibri" w:hAnsi="Calibri" w:cs="Calibri"/>
          <w:sz w:val="22"/>
          <w:szCs w:val="22"/>
          <w:lang w:val="es-AR"/>
        </w:rPr>
        <w:t>debatiremos</w:t>
      </w:r>
      <w:r w:rsidRPr="00A63F52">
        <w:rPr>
          <w:rFonts w:ascii="Calibri" w:hAnsi="Calibri" w:cs="Calibri"/>
          <w:sz w:val="22"/>
          <w:szCs w:val="22"/>
          <w:lang w:val="es-AR"/>
        </w:rPr>
        <w:t xml:space="preserve"> las principales novedades logradas este año. </w:t>
      </w:r>
    </w:p>
    <w:p w14:paraId="3EC65F1D" w14:textId="77777777" w:rsidR="00AF3C9A" w:rsidRPr="00A63F52" w:rsidRDefault="00AF3C9A" w:rsidP="00ED3ED1">
      <w:pPr>
        <w:jc w:val="both"/>
        <w:rPr>
          <w:rFonts w:ascii="Calibri" w:hAnsi="Calibri" w:cs="Calibri"/>
          <w:sz w:val="22"/>
          <w:szCs w:val="22"/>
          <w:lang w:val="es-AR"/>
        </w:rPr>
      </w:pPr>
      <w:r w:rsidRPr="00A63F52">
        <w:rPr>
          <w:rFonts w:ascii="Calibri" w:hAnsi="Calibri" w:cs="Calibri"/>
          <w:sz w:val="22"/>
          <w:szCs w:val="22"/>
          <w:lang w:val="es-AR"/>
        </w:rPr>
        <w:t>El interés de este artículo es hacer un inventario del ecosistema de las criptomonedas en Francia. Sigue a los dos artículos publicados el año pasado.</w:t>
      </w:r>
    </w:p>
    <w:p w14:paraId="765207BD" w14:textId="77777777" w:rsidR="00BD2EEF" w:rsidRPr="00A63F52" w:rsidRDefault="00BD2EEF" w:rsidP="00ED3ED1">
      <w:pPr>
        <w:jc w:val="both"/>
        <w:rPr>
          <w:rFonts w:ascii="Calibri" w:hAnsi="Calibri" w:cs="Calibri"/>
          <w:sz w:val="22"/>
          <w:szCs w:val="22"/>
          <w:lang w:val="es-AR"/>
        </w:rPr>
      </w:pPr>
    </w:p>
    <w:p w14:paraId="62A164BB" w14:textId="77777777" w:rsidR="00477F8C" w:rsidRDefault="00477F8C" w:rsidP="00ED3ED1">
      <w:pPr>
        <w:jc w:val="both"/>
        <w:rPr>
          <w:rFonts w:ascii="Calibri" w:hAnsi="Calibri" w:cs="Calibri"/>
          <w:sz w:val="22"/>
          <w:szCs w:val="22"/>
          <w:lang w:val="es-AR"/>
        </w:rPr>
      </w:pPr>
    </w:p>
    <w:p w14:paraId="3EC877AB" w14:textId="77777777" w:rsidR="00477F8C" w:rsidRDefault="00477F8C" w:rsidP="00ED3ED1">
      <w:pPr>
        <w:jc w:val="both"/>
        <w:rPr>
          <w:rFonts w:ascii="Calibri" w:hAnsi="Calibri" w:cs="Calibri"/>
          <w:sz w:val="22"/>
          <w:szCs w:val="22"/>
          <w:lang w:val="es-AR"/>
        </w:rPr>
      </w:pPr>
    </w:p>
    <w:p w14:paraId="43CC42BE" w14:textId="77777777" w:rsidR="00477F8C" w:rsidRDefault="00477F8C" w:rsidP="00ED3ED1">
      <w:pPr>
        <w:jc w:val="both"/>
        <w:rPr>
          <w:rFonts w:ascii="Calibri" w:hAnsi="Calibri" w:cs="Calibri"/>
          <w:sz w:val="22"/>
          <w:szCs w:val="22"/>
          <w:lang w:val="es-AR"/>
        </w:rPr>
      </w:pPr>
    </w:p>
    <w:p w14:paraId="64116DF4" w14:textId="77777777" w:rsidR="00477F8C" w:rsidRDefault="00477F8C" w:rsidP="00ED3ED1">
      <w:pPr>
        <w:jc w:val="both"/>
        <w:rPr>
          <w:rFonts w:ascii="Calibri" w:hAnsi="Calibri" w:cs="Calibri"/>
          <w:sz w:val="22"/>
          <w:szCs w:val="22"/>
          <w:lang w:val="es-AR"/>
        </w:rPr>
      </w:pPr>
    </w:p>
    <w:p w14:paraId="145812F6" w14:textId="77777777" w:rsidR="00477F8C" w:rsidRDefault="00477F8C" w:rsidP="00ED3ED1">
      <w:pPr>
        <w:jc w:val="both"/>
        <w:rPr>
          <w:rFonts w:ascii="Calibri" w:hAnsi="Calibri" w:cs="Calibri"/>
          <w:sz w:val="22"/>
          <w:szCs w:val="22"/>
          <w:lang w:val="es-AR"/>
        </w:rPr>
      </w:pPr>
    </w:p>
    <w:p w14:paraId="45ED0BE6" w14:textId="77777777" w:rsidR="00477F8C" w:rsidRDefault="00477F8C" w:rsidP="00ED3ED1">
      <w:pPr>
        <w:jc w:val="both"/>
        <w:rPr>
          <w:rFonts w:ascii="Calibri" w:hAnsi="Calibri" w:cs="Calibri"/>
          <w:sz w:val="22"/>
          <w:szCs w:val="22"/>
          <w:lang w:val="es-AR"/>
        </w:rPr>
      </w:pPr>
    </w:p>
    <w:p w14:paraId="1BC064B2" w14:textId="77777777" w:rsidR="00477F8C" w:rsidRDefault="00477F8C" w:rsidP="00ED3ED1">
      <w:pPr>
        <w:jc w:val="both"/>
        <w:rPr>
          <w:rFonts w:ascii="Calibri" w:hAnsi="Calibri" w:cs="Calibri"/>
          <w:sz w:val="22"/>
          <w:szCs w:val="22"/>
          <w:lang w:val="es-AR"/>
        </w:rPr>
      </w:pPr>
    </w:p>
    <w:p w14:paraId="455C62E2" w14:textId="77777777" w:rsidR="00477F8C" w:rsidRDefault="00477F8C" w:rsidP="00ED3ED1">
      <w:pPr>
        <w:jc w:val="both"/>
        <w:rPr>
          <w:rFonts w:ascii="Calibri" w:hAnsi="Calibri" w:cs="Calibri"/>
          <w:sz w:val="22"/>
          <w:szCs w:val="22"/>
          <w:lang w:val="es-AR"/>
        </w:rPr>
      </w:pPr>
    </w:p>
    <w:p w14:paraId="2FCF37E6" w14:textId="3BA04B7F" w:rsidR="00477F8C" w:rsidRDefault="00477F8C" w:rsidP="00ED3ED1">
      <w:pPr>
        <w:jc w:val="both"/>
        <w:rPr>
          <w:rFonts w:ascii="Calibri" w:hAnsi="Calibri" w:cs="Calibri"/>
          <w:sz w:val="22"/>
          <w:szCs w:val="22"/>
          <w:lang w:val="es-AR"/>
        </w:rPr>
      </w:pPr>
    </w:p>
    <w:p w14:paraId="0F7D11EB" w14:textId="4C25227C" w:rsidR="00477F8C" w:rsidRDefault="00477F8C" w:rsidP="00ED3ED1">
      <w:pPr>
        <w:jc w:val="both"/>
        <w:rPr>
          <w:rFonts w:ascii="Calibri" w:hAnsi="Calibri" w:cs="Calibri"/>
          <w:sz w:val="22"/>
          <w:szCs w:val="22"/>
          <w:lang w:val="es-AR"/>
        </w:rPr>
      </w:pPr>
    </w:p>
    <w:p w14:paraId="47A8DF24" w14:textId="348537BA" w:rsidR="00477F8C" w:rsidRDefault="00477F8C" w:rsidP="00ED3ED1">
      <w:pPr>
        <w:jc w:val="both"/>
        <w:rPr>
          <w:rFonts w:ascii="Calibri" w:hAnsi="Calibri" w:cs="Calibri"/>
          <w:sz w:val="22"/>
          <w:szCs w:val="22"/>
          <w:lang w:val="es-AR"/>
        </w:rPr>
      </w:pPr>
    </w:p>
    <w:p w14:paraId="75B7B7A1" w14:textId="240C8C42" w:rsidR="00477F8C" w:rsidRDefault="00477F8C" w:rsidP="00ED3ED1">
      <w:pPr>
        <w:jc w:val="both"/>
        <w:rPr>
          <w:rFonts w:ascii="Calibri" w:hAnsi="Calibri" w:cs="Calibri"/>
          <w:sz w:val="22"/>
          <w:szCs w:val="22"/>
          <w:lang w:val="es-AR"/>
        </w:rPr>
      </w:pPr>
    </w:p>
    <w:p w14:paraId="106D81B1" w14:textId="5415223D" w:rsidR="00477F8C" w:rsidRDefault="00477F8C" w:rsidP="00ED3ED1">
      <w:pPr>
        <w:jc w:val="both"/>
        <w:rPr>
          <w:rFonts w:ascii="Calibri" w:hAnsi="Calibri" w:cs="Calibri"/>
          <w:sz w:val="22"/>
          <w:szCs w:val="22"/>
          <w:lang w:val="es-AR"/>
        </w:rPr>
      </w:pPr>
    </w:p>
    <w:p w14:paraId="49CF6E2D" w14:textId="35C2A364" w:rsidR="00477F8C" w:rsidRDefault="00477F8C" w:rsidP="00ED3ED1">
      <w:pPr>
        <w:jc w:val="both"/>
        <w:rPr>
          <w:rFonts w:ascii="Calibri" w:hAnsi="Calibri" w:cs="Calibri"/>
          <w:sz w:val="22"/>
          <w:szCs w:val="22"/>
          <w:lang w:val="es-AR"/>
        </w:rPr>
      </w:pPr>
    </w:p>
    <w:p w14:paraId="07031484" w14:textId="1C36AF9F" w:rsidR="00477F8C" w:rsidRDefault="00477F8C" w:rsidP="00ED3ED1">
      <w:pPr>
        <w:jc w:val="both"/>
        <w:rPr>
          <w:rFonts w:ascii="Calibri" w:hAnsi="Calibri" w:cs="Calibri"/>
          <w:sz w:val="22"/>
          <w:szCs w:val="22"/>
          <w:lang w:val="es-AR"/>
        </w:rPr>
      </w:pPr>
    </w:p>
    <w:p w14:paraId="78FC2BEB" w14:textId="7D2DC94F" w:rsidR="00477F8C" w:rsidRDefault="00477F8C" w:rsidP="00ED3ED1">
      <w:pPr>
        <w:jc w:val="both"/>
        <w:rPr>
          <w:rFonts w:ascii="Calibri" w:hAnsi="Calibri" w:cs="Calibri"/>
          <w:sz w:val="22"/>
          <w:szCs w:val="22"/>
          <w:lang w:val="es-AR"/>
        </w:rPr>
      </w:pPr>
    </w:p>
    <w:p w14:paraId="6090CE1D" w14:textId="2A4F6800" w:rsidR="00477F8C" w:rsidRDefault="00477F8C" w:rsidP="00ED3ED1">
      <w:pPr>
        <w:jc w:val="both"/>
        <w:rPr>
          <w:rFonts w:ascii="Calibri" w:hAnsi="Calibri" w:cs="Calibri"/>
          <w:sz w:val="22"/>
          <w:szCs w:val="22"/>
          <w:lang w:val="es-AR"/>
        </w:rPr>
      </w:pPr>
      <w:r>
        <w:rPr>
          <w:rFonts w:ascii="Calibri" w:hAnsi="Calibri" w:cs="Calibri"/>
          <w:sz w:val="22"/>
          <w:szCs w:val="22"/>
          <w:lang w:val="es-AR"/>
        </w:rPr>
        <w:t>Palabras claves : #Criptomonedas # Patrimonio, #bitcoin, #Fiscalidad</w:t>
      </w:r>
    </w:p>
    <w:p w14:paraId="07482F91" w14:textId="044A41E9" w:rsidR="00BD2EEF" w:rsidRPr="00A63F52" w:rsidRDefault="00BD2EEF" w:rsidP="00ED3ED1">
      <w:pPr>
        <w:jc w:val="both"/>
        <w:rPr>
          <w:rFonts w:ascii="Calibri" w:hAnsi="Calibri" w:cs="Calibri"/>
          <w:sz w:val="22"/>
          <w:szCs w:val="22"/>
          <w:lang w:val="es-AR"/>
        </w:rPr>
      </w:pPr>
      <w:r w:rsidRPr="00A63F52">
        <w:rPr>
          <w:rFonts w:ascii="Calibri" w:hAnsi="Calibri" w:cs="Calibri"/>
          <w:sz w:val="22"/>
          <w:szCs w:val="22"/>
          <w:lang w:val="es-AR"/>
        </w:rPr>
        <w:br w:type="page"/>
      </w:r>
    </w:p>
    <w:p w14:paraId="2F6DE41F" w14:textId="25D54C95" w:rsidR="00AF3C9A" w:rsidRPr="00A63F52" w:rsidRDefault="00AF3C9A" w:rsidP="00ED3ED1">
      <w:pPr>
        <w:jc w:val="both"/>
        <w:rPr>
          <w:rFonts w:ascii="Calibri" w:hAnsi="Calibri" w:cs="Calibri"/>
          <w:sz w:val="22"/>
          <w:szCs w:val="22"/>
          <w:lang w:val="es-AR"/>
        </w:rPr>
      </w:pPr>
    </w:p>
    <w:p w14:paraId="02E7C95F" w14:textId="5983FEC0" w:rsidR="00AF3C9A" w:rsidRPr="00A63F52" w:rsidRDefault="00AF3C9A" w:rsidP="00BD7CD6">
      <w:pPr>
        <w:pStyle w:val="Titre"/>
        <w:ind w:left="708" w:firstLine="708"/>
        <w:rPr>
          <w:rFonts w:ascii="Calibri" w:hAnsi="Calibri" w:cs="Calibri"/>
          <w:b/>
          <w:bCs/>
          <w:color w:val="auto"/>
          <w:sz w:val="22"/>
          <w:szCs w:val="22"/>
          <w:lang w:val="es-AR"/>
        </w:rPr>
      </w:pPr>
      <w:r w:rsidRPr="00A63F52">
        <w:rPr>
          <w:rFonts w:ascii="Calibri" w:hAnsi="Calibri" w:cs="Calibri"/>
          <w:b/>
          <w:bCs/>
          <w:color w:val="auto"/>
          <w:sz w:val="22"/>
          <w:szCs w:val="22"/>
          <w:lang w:val="es-AR"/>
        </w:rPr>
        <w:t>CRIPTOMONEDAS EN FRANCIA: SITUACION ACTUAL</w:t>
      </w:r>
    </w:p>
    <w:p w14:paraId="77558517" w14:textId="77777777" w:rsidR="00E32F23" w:rsidRDefault="00E32F23" w:rsidP="00E32F23">
      <w:pPr>
        <w:pStyle w:val="Titre2"/>
        <w:rPr>
          <w:rFonts w:ascii="Calibri" w:hAnsi="Calibri" w:cs="Calibri"/>
          <w:b/>
          <w:bCs/>
          <w:caps/>
          <w:color w:val="auto"/>
          <w:sz w:val="22"/>
          <w:szCs w:val="22"/>
          <w:lang w:val="es-AR"/>
        </w:rPr>
      </w:pPr>
      <w:bookmarkStart w:id="2" w:name="_Toc111047583"/>
      <w:bookmarkStart w:id="3" w:name="_Toc115689847"/>
    </w:p>
    <w:p w14:paraId="20479CCB" w14:textId="070C20DD" w:rsidR="00FE2889" w:rsidRPr="00BD7CD6" w:rsidRDefault="00FE2889" w:rsidP="00E32F23">
      <w:pPr>
        <w:pStyle w:val="Titre2"/>
        <w:rPr>
          <w:rFonts w:ascii="Calibri" w:hAnsi="Calibri" w:cs="Calibri"/>
          <w:b/>
          <w:bCs/>
          <w:caps/>
          <w:color w:val="auto"/>
          <w:sz w:val="22"/>
          <w:szCs w:val="22"/>
          <w:lang w:val="es-AR"/>
        </w:rPr>
      </w:pPr>
      <w:r w:rsidRPr="00BD7CD6">
        <w:rPr>
          <w:rFonts w:ascii="Calibri" w:hAnsi="Calibri" w:cs="Calibri"/>
          <w:b/>
          <w:bCs/>
          <w:caps/>
          <w:color w:val="auto"/>
          <w:sz w:val="22"/>
          <w:szCs w:val="22"/>
          <w:lang w:val="es-AR"/>
        </w:rPr>
        <w:t>Introducción</w:t>
      </w:r>
      <w:bookmarkEnd w:id="2"/>
      <w:bookmarkEnd w:id="3"/>
    </w:p>
    <w:p w14:paraId="3E1E3CD5" w14:textId="29108B27" w:rsidR="00D82441" w:rsidRPr="00A63F52" w:rsidRDefault="00D82441" w:rsidP="00ED3ED1">
      <w:pPr>
        <w:jc w:val="both"/>
        <w:rPr>
          <w:rFonts w:ascii="Calibri" w:hAnsi="Calibri" w:cs="Calibri"/>
          <w:sz w:val="22"/>
          <w:szCs w:val="22"/>
          <w:lang w:val="es-AR"/>
        </w:rPr>
      </w:pPr>
    </w:p>
    <w:p w14:paraId="7CBF54F6" w14:textId="77777777"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 xml:space="preserve">¿Cómo evolucionan las criptomonedas en Francia? </w:t>
      </w:r>
    </w:p>
    <w:p w14:paraId="532B50DD" w14:textId="77777777" w:rsidR="00EF6BA6" w:rsidRPr="00A63F52" w:rsidRDefault="00EF6BA6" w:rsidP="00ED3ED1">
      <w:pPr>
        <w:jc w:val="both"/>
        <w:rPr>
          <w:rFonts w:ascii="Calibri" w:hAnsi="Calibri" w:cs="Calibri"/>
          <w:sz w:val="22"/>
          <w:szCs w:val="22"/>
          <w:lang w:val="es-AR"/>
        </w:rPr>
      </w:pPr>
    </w:p>
    <w:p w14:paraId="3FCA03A1" w14:textId="1E18F598"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 xml:space="preserve">Según una encuesta realizada por ADAN y </w:t>
      </w:r>
      <w:r w:rsidR="00602C94" w:rsidRPr="00A63F52">
        <w:rPr>
          <w:rFonts w:ascii="Calibri" w:hAnsi="Calibri" w:cs="Calibri"/>
          <w:sz w:val="22"/>
          <w:szCs w:val="22"/>
          <w:lang w:val="es-AR"/>
        </w:rPr>
        <w:t>KPMG</w:t>
      </w:r>
      <w:r w:rsidR="00602C94" w:rsidRPr="00A63F52">
        <w:rPr>
          <w:rStyle w:val="Appelnotedebasdep"/>
          <w:rFonts w:ascii="Calibri" w:hAnsi="Calibri" w:cs="Calibri"/>
          <w:sz w:val="22"/>
          <w:szCs w:val="22"/>
          <w:lang w:val="es-AR"/>
        </w:rPr>
        <w:footnoteReference w:id="1"/>
      </w:r>
      <w:r w:rsidR="00602C94" w:rsidRPr="00A63F52">
        <w:rPr>
          <w:rFonts w:ascii="Calibri" w:hAnsi="Calibri" w:cs="Calibri"/>
          <w:sz w:val="22"/>
          <w:szCs w:val="22"/>
          <w:lang w:val="es-AR"/>
        </w:rPr>
        <w:t>,</w:t>
      </w:r>
      <w:r w:rsidRPr="00A63F52">
        <w:rPr>
          <w:rFonts w:ascii="Calibri" w:hAnsi="Calibri" w:cs="Calibri"/>
          <w:sz w:val="22"/>
          <w:szCs w:val="22"/>
          <w:lang w:val="es-AR"/>
        </w:rPr>
        <w:t xml:space="preserve"> el 8% de la población ha invertido, en 2021, en criptodivisas. </w:t>
      </w:r>
      <w:r w:rsidR="00E679FB" w:rsidRPr="00A63F52">
        <w:rPr>
          <w:rFonts w:ascii="Calibri" w:hAnsi="Calibri" w:cs="Calibri"/>
          <w:sz w:val="22"/>
          <w:szCs w:val="22"/>
          <w:lang w:val="es-AR"/>
        </w:rPr>
        <w:t xml:space="preserve">Hoy </w:t>
      </w:r>
      <w:r w:rsidR="00EE7804" w:rsidRPr="00A63F52">
        <w:rPr>
          <w:rFonts w:ascii="Calibri" w:hAnsi="Calibri" w:cs="Calibri"/>
          <w:sz w:val="22"/>
          <w:szCs w:val="22"/>
          <w:lang w:val="es-AR"/>
        </w:rPr>
        <w:t>día</w:t>
      </w:r>
      <w:r w:rsidRPr="00A63F52">
        <w:rPr>
          <w:rFonts w:ascii="Calibri" w:hAnsi="Calibri" w:cs="Calibri"/>
          <w:sz w:val="22"/>
          <w:szCs w:val="22"/>
          <w:lang w:val="es-AR"/>
        </w:rPr>
        <w:t xml:space="preserve">, entre el 12 y el 13% de la población tiene previsto hacerlo para finales de 2022. </w:t>
      </w:r>
    </w:p>
    <w:p w14:paraId="43FA0D0E" w14:textId="43FBE2D4"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En un año ha aumentado el número de adopciones de criptomonedas por parte de profesionales y particulares. Los que están interesados e invierten son principalmente personas menores de 35 años. Entre la distribución (hombre-mujer), de los inversores, surge en la encuesta que las mujeres son minor</w:t>
      </w:r>
      <w:r w:rsidR="00E679FB" w:rsidRPr="00A63F52">
        <w:rPr>
          <w:rFonts w:ascii="Calibri" w:hAnsi="Calibri" w:cs="Calibri"/>
          <w:sz w:val="22"/>
          <w:szCs w:val="22"/>
          <w:lang w:val="es-AR"/>
        </w:rPr>
        <w:t>itarias</w:t>
      </w:r>
      <w:r w:rsidRPr="00A63F52">
        <w:rPr>
          <w:rFonts w:ascii="Calibri" w:hAnsi="Calibri" w:cs="Calibri"/>
          <w:sz w:val="22"/>
          <w:szCs w:val="22"/>
          <w:lang w:val="es-AR"/>
        </w:rPr>
        <w:t xml:space="preserve"> en la compra de criptodivisas.</w:t>
      </w:r>
    </w:p>
    <w:p w14:paraId="6AD3BC8F" w14:textId="77777777" w:rsidR="00EF6BA6" w:rsidRPr="00A63F52" w:rsidRDefault="00EF6BA6" w:rsidP="00ED3ED1">
      <w:pPr>
        <w:jc w:val="both"/>
        <w:rPr>
          <w:rFonts w:ascii="Calibri" w:hAnsi="Calibri" w:cs="Calibri"/>
          <w:sz w:val="22"/>
          <w:szCs w:val="22"/>
          <w:lang w:val="es-AR"/>
        </w:rPr>
      </w:pPr>
    </w:p>
    <w:p w14:paraId="57F5980F" w14:textId="77777777"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 xml:space="preserve">¿Cuáles son los actores del ecosistema de la criptomoneda en Francia actualmente? </w:t>
      </w:r>
    </w:p>
    <w:p w14:paraId="03D756B0" w14:textId="36A9C3C0"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 xml:space="preserve">En Francia, la asociación ADAN trabaja por el desarrollo de los activos digitales en Francia y Europa. Hasta </w:t>
      </w:r>
      <w:r w:rsidR="00931AD2" w:rsidRPr="00A63F52">
        <w:rPr>
          <w:rFonts w:ascii="Calibri" w:hAnsi="Calibri" w:cs="Calibri"/>
          <w:sz w:val="22"/>
          <w:szCs w:val="22"/>
          <w:lang w:val="es-AR"/>
        </w:rPr>
        <w:t>ahora</w:t>
      </w:r>
      <w:r w:rsidRPr="00A63F52">
        <w:rPr>
          <w:rFonts w:ascii="Calibri" w:hAnsi="Calibri" w:cs="Calibri"/>
          <w:sz w:val="22"/>
          <w:szCs w:val="22"/>
          <w:lang w:val="es-AR"/>
        </w:rPr>
        <w:t>, cuenta con 172 miembros</w:t>
      </w:r>
      <w:r w:rsidR="00975200" w:rsidRPr="00A63F52">
        <w:rPr>
          <w:rStyle w:val="Appelnotedebasdep"/>
          <w:rFonts w:ascii="Calibri" w:hAnsi="Calibri" w:cs="Calibri"/>
          <w:sz w:val="22"/>
          <w:szCs w:val="22"/>
          <w:lang w:val="es-AR"/>
        </w:rPr>
        <w:footnoteReference w:id="2"/>
      </w:r>
      <w:r w:rsidRPr="00A63F52">
        <w:rPr>
          <w:rFonts w:ascii="Calibri" w:hAnsi="Calibri" w:cs="Calibri"/>
          <w:sz w:val="22"/>
          <w:szCs w:val="22"/>
          <w:lang w:val="es-AR"/>
        </w:rPr>
        <w:t xml:space="preserve">, principalmente empresas del sector. </w:t>
      </w:r>
    </w:p>
    <w:p w14:paraId="77254C3D" w14:textId="77777777"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Los principales actores de este ecosistema están representados. Se trata de proveedores de servicios de activos digitales, contables y abogados especializados en criptomonedas y criptoactivos, así como consultores y organizaciones de formación.</w:t>
      </w:r>
    </w:p>
    <w:p w14:paraId="6CEACA1A" w14:textId="77777777" w:rsidR="00EF6BA6" w:rsidRPr="00A63F52" w:rsidRDefault="00EF6BA6" w:rsidP="00ED3ED1">
      <w:pPr>
        <w:jc w:val="both"/>
        <w:rPr>
          <w:rFonts w:ascii="Calibri" w:hAnsi="Calibri" w:cs="Calibri"/>
          <w:sz w:val="22"/>
          <w:szCs w:val="22"/>
          <w:lang w:val="es-AR"/>
        </w:rPr>
      </w:pPr>
    </w:p>
    <w:p w14:paraId="065830B9" w14:textId="77777777"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 xml:space="preserve">¿Cómo se definen las criptomonedas en Francia? </w:t>
      </w:r>
    </w:p>
    <w:p w14:paraId="0051E4A1" w14:textId="77777777"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 xml:space="preserve">Esta cuestión se abordó el año pasado. Se trataba de definir las criptomonedas y en particular el bitcoin en el ámbito económico, jurídico y financiero. El artículo de hoy es una continuación del presentado en 2021. </w:t>
      </w:r>
    </w:p>
    <w:p w14:paraId="60BCA989" w14:textId="6B03ECD6" w:rsidR="00EF6BA6" w:rsidRPr="00A63F52" w:rsidRDefault="00EF6BA6" w:rsidP="00ED3ED1">
      <w:pPr>
        <w:jc w:val="both"/>
        <w:rPr>
          <w:rFonts w:ascii="Calibri" w:hAnsi="Calibri" w:cs="Calibri"/>
          <w:sz w:val="22"/>
          <w:szCs w:val="22"/>
          <w:lang w:val="es-AR"/>
        </w:rPr>
      </w:pPr>
      <w:r w:rsidRPr="00A63F52">
        <w:rPr>
          <w:rFonts w:ascii="Calibri" w:hAnsi="Calibri" w:cs="Calibri"/>
          <w:sz w:val="22"/>
          <w:szCs w:val="22"/>
          <w:lang w:val="es-AR"/>
        </w:rPr>
        <w:t>Tras un rápido repaso de las principales novedades</w:t>
      </w:r>
      <w:r w:rsidR="00931AD2" w:rsidRPr="00A63F52">
        <w:rPr>
          <w:rFonts w:ascii="Calibri" w:hAnsi="Calibri" w:cs="Calibri"/>
          <w:sz w:val="22"/>
          <w:szCs w:val="22"/>
          <w:lang w:val="es-AR"/>
        </w:rPr>
        <w:t xml:space="preserve"> (I)</w:t>
      </w:r>
      <w:r w:rsidRPr="00A63F52">
        <w:rPr>
          <w:rFonts w:ascii="Calibri" w:hAnsi="Calibri" w:cs="Calibri"/>
          <w:sz w:val="22"/>
          <w:szCs w:val="22"/>
          <w:lang w:val="es-AR"/>
        </w:rPr>
        <w:t>, hablaremos de los nuevos avances en materia de fiscalidad para particulares y empresas</w:t>
      </w:r>
      <w:r w:rsidR="00931AD2" w:rsidRPr="00A63F52">
        <w:rPr>
          <w:rFonts w:ascii="Calibri" w:hAnsi="Calibri" w:cs="Calibri"/>
          <w:sz w:val="22"/>
          <w:szCs w:val="22"/>
          <w:lang w:val="es-AR"/>
        </w:rPr>
        <w:t xml:space="preserve"> (II)</w:t>
      </w:r>
      <w:r w:rsidRPr="00A63F52">
        <w:rPr>
          <w:rFonts w:ascii="Calibri" w:hAnsi="Calibri" w:cs="Calibri"/>
          <w:sz w:val="22"/>
          <w:szCs w:val="22"/>
          <w:lang w:val="es-AR"/>
        </w:rPr>
        <w:t>. Los retos a los que se enfrentan los actores de este ecosistema y las principales vías de mejora se analizarán en la parte final</w:t>
      </w:r>
      <w:r w:rsidR="00931AD2" w:rsidRPr="00A63F52">
        <w:rPr>
          <w:rFonts w:ascii="Calibri" w:hAnsi="Calibri" w:cs="Calibri"/>
          <w:sz w:val="22"/>
          <w:szCs w:val="22"/>
          <w:lang w:val="es-AR"/>
        </w:rPr>
        <w:t xml:space="preserve"> (III)</w:t>
      </w:r>
      <w:r w:rsidRPr="00A63F52">
        <w:rPr>
          <w:rFonts w:ascii="Calibri" w:hAnsi="Calibri" w:cs="Calibri"/>
          <w:sz w:val="22"/>
          <w:szCs w:val="22"/>
          <w:lang w:val="es-AR"/>
        </w:rPr>
        <w:t xml:space="preserve">. </w:t>
      </w:r>
    </w:p>
    <w:p w14:paraId="40C0DDB0" w14:textId="77777777" w:rsidR="00EF6BA6" w:rsidRPr="00A63F52" w:rsidRDefault="00EF6BA6" w:rsidP="00ED3ED1">
      <w:pPr>
        <w:jc w:val="both"/>
        <w:rPr>
          <w:rFonts w:ascii="Calibri" w:hAnsi="Calibri" w:cs="Calibri"/>
          <w:sz w:val="22"/>
          <w:szCs w:val="22"/>
          <w:lang w:val="es-AR"/>
        </w:rPr>
      </w:pPr>
    </w:p>
    <w:p w14:paraId="420586E6" w14:textId="77777777" w:rsidR="00EF6BA6" w:rsidRPr="00A63F52" w:rsidRDefault="00EF6BA6" w:rsidP="00ED3ED1">
      <w:pPr>
        <w:jc w:val="both"/>
        <w:rPr>
          <w:rFonts w:ascii="Calibri" w:hAnsi="Calibri" w:cs="Calibri"/>
          <w:sz w:val="22"/>
          <w:szCs w:val="22"/>
          <w:lang w:val="es-AR"/>
        </w:rPr>
      </w:pPr>
    </w:p>
    <w:p w14:paraId="6914F6DA" w14:textId="77777777" w:rsidR="00EF6BA6" w:rsidRPr="00A63F52" w:rsidRDefault="00EF6BA6" w:rsidP="00ED3ED1">
      <w:pPr>
        <w:jc w:val="both"/>
        <w:rPr>
          <w:rFonts w:ascii="Calibri" w:hAnsi="Calibri" w:cs="Calibri"/>
          <w:sz w:val="22"/>
          <w:szCs w:val="22"/>
          <w:lang w:val="es-AR"/>
        </w:rPr>
      </w:pPr>
    </w:p>
    <w:p w14:paraId="644EE61B" w14:textId="77777777" w:rsidR="00EF6BA6" w:rsidRPr="00A63F52" w:rsidRDefault="00EF6BA6" w:rsidP="00ED3ED1">
      <w:pPr>
        <w:jc w:val="both"/>
        <w:rPr>
          <w:rFonts w:ascii="Calibri" w:hAnsi="Calibri" w:cs="Calibri"/>
          <w:sz w:val="22"/>
          <w:szCs w:val="22"/>
          <w:lang w:val="es-AR"/>
        </w:rPr>
      </w:pPr>
    </w:p>
    <w:p w14:paraId="60F73835" w14:textId="265AA0B9" w:rsidR="00FE2889" w:rsidRPr="00A63F52" w:rsidRDefault="00226AA4" w:rsidP="00E32F23">
      <w:pPr>
        <w:rPr>
          <w:rFonts w:ascii="Calibri" w:hAnsi="Calibri" w:cs="Calibri"/>
          <w:sz w:val="22"/>
          <w:szCs w:val="22"/>
          <w:lang w:val="es-AR"/>
        </w:rPr>
      </w:pPr>
      <w:r w:rsidRPr="00A63F52">
        <w:rPr>
          <w:rFonts w:ascii="Calibri" w:hAnsi="Calibri" w:cs="Calibri"/>
          <w:sz w:val="22"/>
          <w:szCs w:val="22"/>
          <w:lang w:val="es-AR"/>
        </w:rPr>
        <w:br w:type="page"/>
      </w:r>
    </w:p>
    <w:p w14:paraId="311FA777" w14:textId="3DB76406" w:rsidR="00AF3C9A" w:rsidRPr="00BD7CD6" w:rsidRDefault="00F66925" w:rsidP="00BD7CD6">
      <w:pPr>
        <w:pStyle w:val="Titre2"/>
        <w:numPr>
          <w:ilvl w:val="0"/>
          <w:numId w:val="11"/>
        </w:numPr>
        <w:ind w:left="1134" w:hanging="425"/>
        <w:rPr>
          <w:rFonts w:ascii="Calibri" w:hAnsi="Calibri" w:cs="Calibri"/>
          <w:caps/>
          <w:color w:val="auto"/>
          <w:sz w:val="22"/>
          <w:szCs w:val="22"/>
          <w:lang w:val="es-AR"/>
        </w:rPr>
      </w:pPr>
      <w:bookmarkStart w:id="4" w:name="_Toc111047584"/>
      <w:bookmarkStart w:id="5" w:name="_Toc115689848"/>
      <w:r w:rsidRPr="00BD7CD6">
        <w:rPr>
          <w:rFonts w:ascii="Calibri" w:hAnsi="Calibri" w:cs="Calibri"/>
          <w:caps/>
          <w:color w:val="auto"/>
          <w:sz w:val="22"/>
          <w:szCs w:val="22"/>
          <w:lang w:val="es-AR"/>
        </w:rPr>
        <w:lastRenderedPageBreak/>
        <w:t>Cuadro recapitulativo: Seguimiento de los diferentes temas en 2021</w:t>
      </w:r>
      <w:bookmarkEnd w:id="4"/>
      <w:bookmarkEnd w:id="5"/>
    </w:p>
    <w:p w14:paraId="0B2943AA" w14:textId="77777777" w:rsidR="00AF3C9A" w:rsidRPr="00A63F52" w:rsidRDefault="00AF3C9A" w:rsidP="00ED3ED1">
      <w:pPr>
        <w:jc w:val="both"/>
        <w:rPr>
          <w:rFonts w:ascii="Calibri" w:hAnsi="Calibri" w:cs="Calibri"/>
          <w:sz w:val="22"/>
          <w:szCs w:val="22"/>
          <w:lang w:val="es-AR"/>
        </w:rPr>
      </w:pPr>
    </w:p>
    <w:tbl>
      <w:tblPr>
        <w:tblStyle w:val="Grilledutableau"/>
        <w:tblW w:w="9635" w:type="dxa"/>
        <w:tblCellMar>
          <w:top w:w="170" w:type="dxa"/>
          <w:left w:w="57" w:type="dxa"/>
          <w:bottom w:w="170" w:type="dxa"/>
          <w:right w:w="57" w:type="dxa"/>
        </w:tblCellMar>
        <w:tblLook w:val="04A0" w:firstRow="1" w:lastRow="0" w:firstColumn="1" w:lastColumn="0" w:noHBand="0" w:noVBand="1"/>
      </w:tblPr>
      <w:tblGrid>
        <w:gridCol w:w="2122"/>
        <w:gridCol w:w="5811"/>
        <w:gridCol w:w="1702"/>
      </w:tblGrid>
      <w:tr w:rsidR="0050482F" w:rsidRPr="00A63F52" w14:paraId="65375C41" w14:textId="77777777" w:rsidTr="00B819C0">
        <w:trPr>
          <w:trHeight w:val="367"/>
        </w:trPr>
        <w:tc>
          <w:tcPr>
            <w:tcW w:w="2122" w:type="dxa"/>
          </w:tcPr>
          <w:p w14:paraId="223C13F6" w14:textId="3DBB68C6" w:rsidR="0050482F" w:rsidRPr="00A63F52" w:rsidRDefault="0050482F" w:rsidP="00ED3ED1">
            <w:pPr>
              <w:jc w:val="both"/>
              <w:rPr>
                <w:rFonts w:ascii="Calibri" w:hAnsi="Calibri" w:cs="Calibri"/>
                <w:sz w:val="22"/>
                <w:szCs w:val="22"/>
                <w:lang w:val="es-AR"/>
              </w:rPr>
            </w:pPr>
            <w:r w:rsidRPr="00A63F52">
              <w:rPr>
                <w:rFonts w:ascii="Calibri" w:hAnsi="Calibri" w:cs="Calibri"/>
                <w:sz w:val="22"/>
                <w:szCs w:val="22"/>
                <w:lang w:val="es-AR"/>
              </w:rPr>
              <w:t>T</w:t>
            </w:r>
            <w:r w:rsidR="002F2894" w:rsidRPr="00A63F52">
              <w:rPr>
                <w:rFonts w:ascii="Calibri" w:hAnsi="Calibri" w:cs="Calibri"/>
                <w:sz w:val="22"/>
                <w:szCs w:val="22"/>
                <w:lang w:val="es-AR"/>
              </w:rPr>
              <w:t>ema</w:t>
            </w:r>
          </w:p>
        </w:tc>
        <w:tc>
          <w:tcPr>
            <w:tcW w:w="5811" w:type="dxa"/>
          </w:tcPr>
          <w:p w14:paraId="75D68660" w14:textId="68C80F5D" w:rsidR="0050482F" w:rsidRPr="00A63F52" w:rsidRDefault="002F2894" w:rsidP="00ED3ED1">
            <w:pPr>
              <w:jc w:val="both"/>
              <w:rPr>
                <w:rFonts w:ascii="Calibri" w:hAnsi="Calibri" w:cs="Calibri"/>
                <w:sz w:val="22"/>
                <w:szCs w:val="22"/>
                <w:lang w:val="es-AR"/>
              </w:rPr>
            </w:pPr>
            <w:r w:rsidRPr="00A63F52">
              <w:rPr>
                <w:rFonts w:ascii="Calibri" w:hAnsi="Calibri" w:cs="Calibri"/>
                <w:sz w:val="22"/>
                <w:szCs w:val="22"/>
                <w:lang w:val="es-AR"/>
              </w:rPr>
              <w:t>Recordatorio</w:t>
            </w:r>
          </w:p>
        </w:tc>
        <w:tc>
          <w:tcPr>
            <w:tcW w:w="1702" w:type="dxa"/>
          </w:tcPr>
          <w:p w14:paraId="46D479B4" w14:textId="25577677" w:rsidR="0050482F" w:rsidRPr="00A63F52" w:rsidRDefault="002F2894" w:rsidP="00ED3ED1">
            <w:pPr>
              <w:jc w:val="both"/>
              <w:rPr>
                <w:rFonts w:ascii="Calibri" w:hAnsi="Calibri" w:cs="Calibri"/>
                <w:sz w:val="22"/>
                <w:szCs w:val="22"/>
                <w:lang w:val="es-AR"/>
              </w:rPr>
            </w:pPr>
            <w:r w:rsidRPr="00A63F52">
              <w:rPr>
                <w:rFonts w:ascii="Calibri" w:hAnsi="Calibri" w:cs="Calibri"/>
                <w:sz w:val="22"/>
                <w:szCs w:val="22"/>
                <w:lang w:val="es-AR"/>
              </w:rPr>
              <w:t>Evolución</w:t>
            </w:r>
          </w:p>
          <w:p w14:paraId="41EE120D" w14:textId="27E63D90" w:rsidR="002F2894" w:rsidRPr="00A63F52" w:rsidRDefault="002F2894" w:rsidP="00ED3ED1">
            <w:pPr>
              <w:jc w:val="both"/>
              <w:rPr>
                <w:rFonts w:ascii="Calibri" w:hAnsi="Calibri" w:cs="Calibri"/>
                <w:sz w:val="22"/>
                <w:szCs w:val="22"/>
                <w:lang w:val="es-AR"/>
              </w:rPr>
            </w:pPr>
          </w:p>
        </w:tc>
      </w:tr>
      <w:tr w:rsidR="0050482F" w:rsidRPr="00A63F52" w14:paraId="4B8743A0" w14:textId="77777777" w:rsidTr="00B819C0">
        <w:trPr>
          <w:trHeight w:val="237"/>
        </w:trPr>
        <w:tc>
          <w:tcPr>
            <w:tcW w:w="9635" w:type="dxa"/>
            <w:gridSpan w:val="3"/>
          </w:tcPr>
          <w:p w14:paraId="17DB1A29" w14:textId="475E781F" w:rsidR="002F2894" w:rsidRPr="00A63F52" w:rsidRDefault="002F2894" w:rsidP="00F16C86">
            <w:pPr>
              <w:pStyle w:val="Titre3"/>
              <w:numPr>
                <w:ilvl w:val="0"/>
                <w:numId w:val="15"/>
              </w:numPr>
              <w:outlineLvl w:val="2"/>
              <w:rPr>
                <w:rFonts w:ascii="Calibri" w:hAnsi="Calibri" w:cs="Calibri"/>
                <w:color w:val="4472C4" w:themeColor="accent1"/>
                <w:sz w:val="22"/>
                <w:szCs w:val="22"/>
              </w:rPr>
            </w:pPr>
            <w:bookmarkStart w:id="6" w:name="_Toc111047585"/>
            <w:bookmarkStart w:id="7" w:name="_Toc115689849"/>
            <w:r w:rsidRPr="00F16C86">
              <w:rPr>
                <w:rFonts w:ascii="Calibri" w:hAnsi="Calibri" w:cs="Calibri"/>
                <w:color w:val="auto"/>
                <w:sz w:val="22"/>
                <w:szCs w:val="22"/>
              </w:rPr>
              <w:t xml:space="preserve">El bitcoin en la </w:t>
            </w:r>
            <w:r w:rsidRPr="00F16C86">
              <w:rPr>
                <w:rFonts w:ascii="Calibri" w:hAnsi="Calibri" w:cs="Calibri"/>
                <w:color w:val="auto"/>
                <w:sz w:val="22"/>
                <w:szCs w:val="22"/>
                <w:lang w:val="es-AR"/>
              </w:rPr>
              <w:t>economía</w:t>
            </w:r>
            <w:r w:rsidRPr="00F16C86">
              <w:rPr>
                <w:rFonts w:ascii="Calibri" w:hAnsi="Calibri" w:cs="Calibri"/>
                <w:color w:val="auto"/>
                <w:sz w:val="22"/>
                <w:szCs w:val="22"/>
              </w:rPr>
              <w:t xml:space="preserve">, las </w:t>
            </w:r>
            <w:r w:rsidRPr="00F16C86">
              <w:rPr>
                <w:rFonts w:ascii="Calibri" w:hAnsi="Calibri" w:cs="Calibri"/>
                <w:color w:val="auto"/>
                <w:sz w:val="22"/>
                <w:szCs w:val="22"/>
                <w:lang w:val="es-AR"/>
              </w:rPr>
              <w:t>finanzas</w:t>
            </w:r>
            <w:r w:rsidRPr="00F16C86">
              <w:rPr>
                <w:rFonts w:ascii="Calibri" w:hAnsi="Calibri" w:cs="Calibri"/>
                <w:color w:val="auto"/>
                <w:sz w:val="22"/>
                <w:szCs w:val="22"/>
              </w:rPr>
              <w:t xml:space="preserve"> y el </w:t>
            </w:r>
            <w:r w:rsidRPr="00F16C86">
              <w:rPr>
                <w:rFonts w:ascii="Calibri" w:hAnsi="Calibri" w:cs="Calibri"/>
                <w:color w:val="auto"/>
                <w:sz w:val="22"/>
                <w:szCs w:val="22"/>
                <w:lang w:val="es-AR"/>
              </w:rPr>
              <w:t>mundo</w:t>
            </w:r>
            <w:r w:rsidRPr="00F16C86">
              <w:rPr>
                <w:rFonts w:ascii="Calibri" w:hAnsi="Calibri" w:cs="Calibri"/>
                <w:color w:val="auto"/>
                <w:sz w:val="22"/>
                <w:szCs w:val="22"/>
              </w:rPr>
              <w:t xml:space="preserve"> de las </w:t>
            </w:r>
            <w:r w:rsidRPr="00F16C86">
              <w:rPr>
                <w:rFonts w:ascii="Calibri" w:hAnsi="Calibri" w:cs="Calibri"/>
                <w:color w:val="auto"/>
                <w:sz w:val="22"/>
                <w:szCs w:val="22"/>
                <w:lang w:val="es-AR"/>
              </w:rPr>
              <w:t>cifras</w:t>
            </w:r>
            <w:bookmarkEnd w:id="6"/>
            <w:bookmarkEnd w:id="7"/>
          </w:p>
        </w:tc>
      </w:tr>
      <w:tr w:rsidR="0050482F" w:rsidRPr="00A63F52" w14:paraId="5BD80D5F" w14:textId="77777777" w:rsidTr="00B819C0">
        <w:tc>
          <w:tcPr>
            <w:tcW w:w="2122" w:type="dxa"/>
          </w:tcPr>
          <w:p w14:paraId="1815DA4F" w14:textId="2BBA9CF9" w:rsidR="0050482F" w:rsidRPr="00A63F52" w:rsidRDefault="0050482F" w:rsidP="00ED3ED1">
            <w:pPr>
              <w:jc w:val="both"/>
              <w:rPr>
                <w:rFonts w:ascii="Calibri" w:hAnsi="Calibri" w:cs="Calibri"/>
                <w:sz w:val="22"/>
                <w:szCs w:val="22"/>
                <w:lang w:val="es-AR"/>
              </w:rPr>
            </w:pPr>
            <w:r w:rsidRPr="00A63F52">
              <w:rPr>
                <w:rFonts w:ascii="Calibri" w:hAnsi="Calibri" w:cs="Calibri"/>
                <w:sz w:val="22"/>
                <w:szCs w:val="22"/>
                <w:lang w:val="es-AR"/>
              </w:rPr>
              <w:t xml:space="preserve">En </w:t>
            </w:r>
            <w:r w:rsidR="002F2894" w:rsidRPr="00A63F52">
              <w:rPr>
                <w:rFonts w:ascii="Calibri" w:hAnsi="Calibri" w:cs="Calibri"/>
                <w:sz w:val="22"/>
                <w:szCs w:val="22"/>
                <w:lang w:val="es-AR"/>
              </w:rPr>
              <w:t>economía</w:t>
            </w:r>
          </w:p>
        </w:tc>
        <w:tc>
          <w:tcPr>
            <w:tcW w:w="5811" w:type="dxa"/>
          </w:tcPr>
          <w:p w14:paraId="1964B536" w14:textId="639A958B" w:rsidR="0050482F" w:rsidRPr="00A63F52" w:rsidRDefault="002F2894" w:rsidP="00ED3ED1">
            <w:pPr>
              <w:jc w:val="both"/>
              <w:rPr>
                <w:rFonts w:ascii="Calibri" w:hAnsi="Calibri" w:cs="Calibri"/>
                <w:sz w:val="22"/>
                <w:szCs w:val="22"/>
                <w:lang w:val="es-AR"/>
              </w:rPr>
            </w:pPr>
            <w:r w:rsidRPr="00A63F52">
              <w:rPr>
                <w:rFonts w:ascii="Calibri" w:hAnsi="Calibri" w:cs="Calibri"/>
                <w:sz w:val="22"/>
                <w:szCs w:val="22"/>
                <w:lang w:val="es-AR"/>
              </w:rPr>
              <w:t>Bitcoin es una moneda en sentido económico</w:t>
            </w:r>
          </w:p>
        </w:tc>
        <w:tc>
          <w:tcPr>
            <w:tcW w:w="1702" w:type="dxa"/>
          </w:tcPr>
          <w:p w14:paraId="4788880C" w14:textId="4421003A" w:rsidR="0050482F" w:rsidRPr="00A63F52" w:rsidRDefault="002F2894" w:rsidP="00ED3ED1">
            <w:pPr>
              <w:jc w:val="both"/>
              <w:rPr>
                <w:rFonts w:ascii="Calibri" w:hAnsi="Calibri" w:cs="Calibri"/>
                <w:sz w:val="22"/>
                <w:szCs w:val="22"/>
                <w:lang w:val="es-AR"/>
              </w:rPr>
            </w:pPr>
            <w:r w:rsidRPr="00A63F52">
              <w:rPr>
                <w:rFonts w:ascii="Calibri" w:hAnsi="Calibri" w:cs="Calibri"/>
                <w:sz w:val="22"/>
                <w:szCs w:val="22"/>
                <w:lang w:val="es-AR"/>
              </w:rPr>
              <w:t>Ídem</w:t>
            </w:r>
          </w:p>
        </w:tc>
      </w:tr>
      <w:tr w:rsidR="0050482F" w:rsidRPr="00A63F52" w14:paraId="68652A46" w14:textId="77777777" w:rsidTr="00B819C0">
        <w:tc>
          <w:tcPr>
            <w:tcW w:w="2122" w:type="dxa"/>
          </w:tcPr>
          <w:p w14:paraId="0A85EDA0" w14:textId="0A432369" w:rsidR="0050482F" w:rsidRPr="00A63F52" w:rsidRDefault="0050482F" w:rsidP="00ED3ED1">
            <w:pPr>
              <w:jc w:val="both"/>
              <w:rPr>
                <w:rFonts w:ascii="Calibri" w:hAnsi="Calibri" w:cs="Calibri"/>
                <w:sz w:val="22"/>
                <w:szCs w:val="22"/>
                <w:lang w:val="es-AR"/>
              </w:rPr>
            </w:pPr>
            <w:r w:rsidRPr="00A63F52">
              <w:rPr>
                <w:rFonts w:ascii="Calibri" w:hAnsi="Calibri" w:cs="Calibri"/>
                <w:sz w:val="22"/>
                <w:szCs w:val="22"/>
                <w:lang w:val="es-AR"/>
              </w:rPr>
              <w:t>En finan</w:t>
            </w:r>
            <w:r w:rsidR="002F2894" w:rsidRPr="00A63F52">
              <w:rPr>
                <w:rFonts w:ascii="Calibri" w:hAnsi="Calibri" w:cs="Calibri"/>
                <w:sz w:val="22"/>
                <w:szCs w:val="22"/>
                <w:lang w:val="es-AR"/>
              </w:rPr>
              <w:t>za</w:t>
            </w:r>
          </w:p>
        </w:tc>
        <w:tc>
          <w:tcPr>
            <w:tcW w:w="5811" w:type="dxa"/>
          </w:tcPr>
          <w:p w14:paraId="4EF9CD1E" w14:textId="299717CB" w:rsidR="0050482F" w:rsidRPr="00A63F52" w:rsidRDefault="00CC3972" w:rsidP="00ED3ED1">
            <w:pPr>
              <w:jc w:val="both"/>
              <w:rPr>
                <w:rFonts w:ascii="Calibri" w:hAnsi="Calibri" w:cs="Calibri"/>
                <w:sz w:val="22"/>
                <w:szCs w:val="22"/>
                <w:lang w:val="es-AR"/>
              </w:rPr>
            </w:pPr>
            <w:r w:rsidRPr="00A63F52">
              <w:rPr>
                <w:rFonts w:ascii="Calibri" w:hAnsi="Calibri" w:cs="Calibri"/>
                <w:sz w:val="22"/>
                <w:szCs w:val="22"/>
                <w:lang w:val="es-AR"/>
              </w:rPr>
              <w:t>El bitcoin es una herramienta de diversificación de carteras</w:t>
            </w:r>
          </w:p>
        </w:tc>
        <w:tc>
          <w:tcPr>
            <w:tcW w:w="1702" w:type="dxa"/>
          </w:tcPr>
          <w:p w14:paraId="603EE85D" w14:textId="7EAD06B8" w:rsidR="0050482F" w:rsidRPr="00A63F52" w:rsidRDefault="002F2894" w:rsidP="00ED3ED1">
            <w:pPr>
              <w:jc w:val="both"/>
              <w:rPr>
                <w:rFonts w:ascii="Calibri" w:hAnsi="Calibri" w:cs="Calibri"/>
                <w:sz w:val="22"/>
                <w:szCs w:val="22"/>
                <w:lang w:val="es-AR"/>
              </w:rPr>
            </w:pPr>
            <w:r w:rsidRPr="00A63F52">
              <w:rPr>
                <w:rFonts w:ascii="Calibri" w:hAnsi="Calibri" w:cs="Calibri"/>
                <w:sz w:val="22"/>
                <w:szCs w:val="22"/>
                <w:lang w:val="es-AR"/>
              </w:rPr>
              <w:t>Ídem</w:t>
            </w:r>
          </w:p>
        </w:tc>
      </w:tr>
      <w:tr w:rsidR="0050482F" w:rsidRPr="00A63F52" w14:paraId="2C7D2D89" w14:textId="77777777" w:rsidTr="00B819C0">
        <w:tc>
          <w:tcPr>
            <w:tcW w:w="2122" w:type="dxa"/>
          </w:tcPr>
          <w:p w14:paraId="0C13AE41" w14:textId="5D204ACF" w:rsidR="0050482F" w:rsidRPr="00A63F52" w:rsidRDefault="0050482F" w:rsidP="00ED3ED1">
            <w:pPr>
              <w:jc w:val="both"/>
              <w:rPr>
                <w:rFonts w:ascii="Calibri" w:hAnsi="Calibri" w:cs="Calibri"/>
                <w:sz w:val="22"/>
                <w:szCs w:val="22"/>
                <w:lang w:val="es-AR"/>
              </w:rPr>
            </w:pPr>
            <w:r w:rsidRPr="00A63F52">
              <w:rPr>
                <w:rFonts w:ascii="Calibri" w:hAnsi="Calibri" w:cs="Calibri"/>
                <w:sz w:val="22"/>
                <w:szCs w:val="22"/>
                <w:lang w:val="es-AR"/>
              </w:rPr>
              <w:t>En</w:t>
            </w:r>
            <w:r w:rsidR="00CC3972" w:rsidRPr="00A63F52">
              <w:rPr>
                <w:rFonts w:ascii="Calibri" w:hAnsi="Calibri" w:cs="Calibri"/>
                <w:sz w:val="22"/>
                <w:szCs w:val="22"/>
                <w:lang w:val="es-AR"/>
              </w:rPr>
              <w:t xml:space="preserve"> contabilidad</w:t>
            </w:r>
          </w:p>
        </w:tc>
        <w:tc>
          <w:tcPr>
            <w:tcW w:w="5811" w:type="dxa"/>
          </w:tcPr>
          <w:p w14:paraId="737DA52B" w14:textId="0DDEE25E" w:rsidR="00CC3972" w:rsidRPr="00A63F52" w:rsidRDefault="00CC3972" w:rsidP="00ED3ED1">
            <w:pPr>
              <w:jc w:val="both"/>
              <w:rPr>
                <w:rFonts w:ascii="Calibri" w:hAnsi="Calibri" w:cs="Calibri"/>
                <w:sz w:val="22"/>
                <w:szCs w:val="22"/>
                <w:lang w:val="es-AR"/>
              </w:rPr>
            </w:pPr>
            <w:r w:rsidRPr="00A63F52">
              <w:rPr>
                <w:rFonts w:ascii="Calibri" w:hAnsi="Calibri" w:cs="Calibri"/>
                <w:sz w:val="22"/>
                <w:szCs w:val="22"/>
                <w:lang w:val="es-AR"/>
              </w:rPr>
              <w:t>El bitcoin es, según el reglamento de la ANC</w:t>
            </w:r>
            <w:r w:rsidRPr="00A63F52">
              <w:rPr>
                <w:rStyle w:val="Appelnotedebasdep"/>
                <w:rFonts w:ascii="Calibri" w:hAnsi="Calibri" w:cs="Calibri"/>
                <w:sz w:val="22"/>
                <w:szCs w:val="22"/>
                <w:lang w:val="es-AR"/>
              </w:rPr>
              <w:footnoteReference w:id="3"/>
            </w:r>
            <w:r w:rsidRPr="00A63F52">
              <w:rPr>
                <w:rFonts w:ascii="Calibri" w:hAnsi="Calibri" w:cs="Calibri"/>
                <w:sz w:val="22"/>
                <w:szCs w:val="22"/>
                <w:lang w:val="es-AR"/>
              </w:rPr>
              <w:t>, un token según la definición de la ley PACTE</w:t>
            </w:r>
            <w:r w:rsidR="00D31CB9" w:rsidRPr="00A63F52">
              <w:rPr>
                <w:rStyle w:val="Appelnotedebasdep"/>
                <w:rFonts w:ascii="Calibri" w:hAnsi="Calibri" w:cs="Calibri"/>
                <w:sz w:val="22"/>
                <w:szCs w:val="22"/>
                <w:lang w:val="es-AR"/>
              </w:rPr>
              <w:footnoteReference w:id="4"/>
            </w:r>
            <w:r w:rsidRPr="00A63F52">
              <w:rPr>
                <w:rFonts w:ascii="Calibri" w:hAnsi="Calibri" w:cs="Calibri"/>
                <w:sz w:val="22"/>
                <w:szCs w:val="22"/>
                <w:lang w:val="es-AR"/>
              </w:rPr>
              <w:t xml:space="preserve">. Sin embargo, presenta algunas particularidades.  </w:t>
            </w:r>
            <w:r w:rsidR="00B26731" w:rsidRPr="00A63F52">
              <w:rPr>
                <w:rFonts w:ascii="Calibri" w:hAnsi="Calibri" w:cs="Calibri"/>
                <w:sz w:val="22"/>
                <w:szCs w:val="22"/>
                <w:lang w:val="es-AR"/>
              </w:rPr>
              <w:t>De hecho</w:t>
            </w:r>
            <w:r w:rsidRPr="00A63F52">
              <w:rPr>
                <w:rFonts w:ascii="Calibri" w:hAnsi="Calibri" w:cs="Calibri"/>
                <w:sz w:val="22"/>
                <w:szCs w:val="22"/>
                <w:lang w:val="es-AR"/>
              </w:rPr>
              <w:t xml:space="preserve">: </w:t>
            </w:r>
          </w:p>
          <w:p w14:paraId="31A687B5" w14:textId="77777777" w:rsidR="00B26731" w:rsidRPr="00A63F52" w:rsidRDefault="00B26731" w:rsidP="00ED3ED1">
            <w:pPr>
              <w:jc w:val="both"/>
              <w:rPr>
                <w:rFonts w:ascii="Calibri" w:hAnsi="Calibri" w:cs="Calibri"/>
                <w:sz w:val="22"/>
                <w:szCs w:val="22"/>
                <w:lang w:val="es-AR"/>
              </w:rPr>
            </w:pPr>
          </w:p>
          <w:p w14:paraId="36366226" w14:textId="0CA87CCD" w:rsidR="00CC3972" w:rsidRPr="00A63F52" w:rsidRDefault="00CC3972" w:rsidP="00ED3ED1">
            <w:pPr>
              <w:jc w:val="both"/>
              <w:rPr>
                <w:rFonts w:ascii="Calibri" w:hAnsi="Calibri" w:cs="Calibri"/>
                <w:sz w:val="22"/>
                <w:szCs w:val="22"/>
                <w:lang w:val="es-AR"/>
              </w:rPr>
            </w:pPr>
            <w:r w:rsidRPr="00A63F52">
              <w:rPr>
                <w:rFonts w:ascii="Calibri" w:hAnsi="Calibri" w:cs="Calibri"/>
                <w:sz w:val="22"/>
                <w:szCs w:val="22"/>
                <w:lang w:val="es-AR"/>
              </w:rPr>
              <w:t xml:space="preserve">- </w:t>
            </w:r>
            <w:r w:rsidR="00B26731" w:rsidRPr="00A63F52">
              <w:rPr>
                <w:rFonts w:ascii="Calibri" w:hAnsi="Calibri" w:cs="Calibri"/>
                <w:sz w:val="22"/>
                <w:szCs w:val="22"/>
                <w:lang w:val="es-AR"/>
              </w:rPr>
              <w:t xml:space="preserve"> </w:t>
            </w:r>
            <w:r w:rsidRPr="00A63F52">
              <w:rPr>
                <w:rFonts w:ascii="Calibri" w:hAnsi="Calibri" w:cs="Calibri"/>
                <w:sz w:val="22"/>
                <w:szCs w:val="22"/>
                <w:lang w:val="es-AR"/>
              </w:rPr>
              <w:t>El bitcoin no confiere derechos similares a los de los valores financieros, los contratos financieros o los bonos de ahorro;</w:t>
            </w:r>
          </w:p>
          <w:p w14:paraId="36C87FAB" w14:textId="77777777" w:rsidR="00B26731" w:rsidRPr="00A63F52" w:rsidRDefault="00B26731" w:rsidP="00ED3ED1">
            <w:pPr>
              <w:jc w:val="both"/>
              <w:rPr>
                <w:rFonts w:ascii="Calibri" w:hAnsi="Calibri" w:cs="Calibri"/>
                <w:sz w:val="22"/>
                <w:szCs w:val="22"/>
                <w:lang w:val="es-AR"/>
              </w:rPr>
            </w:pPr>
          </w:p>
          <w:p w14:paraId="5F602BA3" w14:textId="44D689A1" w:rsidR="00CC3972" w:rsidRPr="00A63F52" w:rsidRDefault="00CC3972" w:rsidP="00ED3ED1">
            <w:pPr>
              <w:jc w:val="both"/>
              <w:rPr>
                <w:rFonts w:ascii="Calibri" w:hAnsi="Calibri" w:cs="Calibri"/>
                <w:sz w:val="22"/>
                <w:szCs w:val="22"/>
                <w:lang w:val="es-AR"/>
              </w:rPr>
            </w:pPr>
            <w:r w:rsidRPr="00A63F52">
              <w:rPr>
                <w:rFonts w:ascii="Calibri" w:hAnsi="Calibri" w:cs="Calibri"/>
                <w:sz w:val="22"/>
                <w:szCs w:val="22"/>
                <w:lang w:val="es-AR"/>
              </w:rPr>
              <w:t>- El bitcoin no da lugar a una prestación aún no realizada ni a una mercancía aún no entregada, ni tampoco a una deuda reembolsable.</w:t>
            </w:r>
          </w:p>
          <w:p w14:paraId="756ABC67" w14:textId="77777777" w:rsidR="00B26731" w:rsidRPr="00A63F52" w:rsidRDefault="00B26731" w:rsidP="00ED3ED1">
            <w:pPr>
              <w:jc w:val="both"/>
              <w:rPr>
                <w:rFonts w:ascii="Calibri" w:hAnsi="Calibri" w:cs="Calibri"/>
                <w:sz w:val="22"/>
                <w:szCs w:val="22"/>
                <w:lang w:val="es-AR"/>
              </w:rPr>
            </w:pPr>
          </w:p>
          <w:p w14:paraId="0776F245" w14:textId="18682FC8" w:rsidR="00CC3972" w:rsidRPr="00A63F52" w:rsidRDefault="00CC3972" w:rsidP="00ED3ED1">
            <w:pPr>
              <w:jc w:val="both"/>
              <w:rPr>
                <w:rFonts w:ascii="Calibri" w:hAnsi="Calibri" w:cs="Calibri"/>
                <w:sz w:val="22"/>
                <w:szCs w:val="22"/>
                <w:lang w:val="es-AR"/>
              </w:rPr>
            </w:pPr>
            <w:r w:rsidRPr="00A63F52">
              <w:rPr>
                <w:rFonts w:ascii="Calibri" w:hAnsi="Calibri" w:cs="Calibri"/>
                <w:sz w:val="22"/>
                <w:szCs w:val="22"/>
                <w:lang w:val="es-AR"/>
              </w:rPr>
              <w:t>- En el caso de la emisión de una ficha cuyo único beneficio es su reconocimiento como medio de cambio y en ausencia de derechos y obligaciones vinculados a ella (implícitos o explícitos), la totalidad de la emisión constituye una renta (PCG art. 619- 4)</w:t>
            </w:r>
            <w:r w:rsidRPr="00A63F52">
              <w:rPr>
                <w:rStyle w:val="Appelnotedebasdep"/>
                <w:rFonts w:ascii="Calibri" w:hAnsi="Calibri" w:cs="Calibri"/>
                <w:sz w:val="22"/>
                <w:szCs w:val="22"/>
                <w:lang w:val="es-AR"/>
              </w:rPr>
              <w:footnoteReference w:id="5"/>
            </w:r>
            <w:r w:rsidRPr="00A63F52">
              <w:rPr>
                <w:rFonts w:ascii="Calibri" w:hAnsi="Calibri" w:cs="Calibri"/>
                <w:sz w:val="22"/>
                <w:szCs w:val="22"/>
                <w:lang w:val="es-AR"/>
              </w:rPr>
              <w:t>.</w:t>
            </w:r>
          </w:p>
          <w:p w14:paraId="51CEB3B0" w14:textId="77777777" w:rsidR="0050482F" w:rsidRPr="00A63F52" w:rsidRDefault="0050482F" w:rsidP="00ED3ED1">
            <w:pPr>
              <w:pStyle w:val="Paragraphedeliste"/>
              <w:spacing w:line="276" w:lineRule="auto"/>
              <w:jc w:val="both"/>
              <w:rPr>
                <w:rFonts w:ascii="Calibri" w:hAnsi="Calibri" w:cs="Calibri"/>
                <w:sz w:val="22"/>
                <w:szCs w:val="22"/>
                <w:lang w:val="es-AR"/>
              </w:rPr>
            </w:pPr>
          </w:p>
        </w:tc>
        <w:tc>
          <w:tcPr>
            <w:tcW w:w="1702" w:type="dxa"/>
          </w:tcPr>
          <w:p w14:paraId="01D03B3C" w14:textId="3FA1CF9A" w:rsidR="0050482F" w:rsidRPr="00A63F52" w:rsidRDefault="00CC3972" w:rsidP="00ED3ED1">
            <w:pPr>
              <w:jc w:val="both"/>
              <w:rPr>
                <w:rFonts w:ascii="Calibri" w:hAnsi="Calibri" w:cs="Calibri"/>
                <w:sz w:val="22"/>
                <w:szCs w:val="22"/>
                <w:lang w:val="es-AR"/>
              </w:rPr>
            </w:pPr>
            <w:r w:rsidRPr="00A63F52">
              <w:rPr>
                <w:rFonts w:ascii="Calibri" w:hAnsi="Calibri" w:cs="Calibri"/>
                <w:sz w:val="22"/>
                <w:szCs w:val="22"/>
                <w:lang w:val="es-AR"/>
              </w:rPr>
              <w:t>Ídem</w:t>
            </w:r>
          </w:p>
        </w:tc>
      </w:tr>
      <w:tr w:rsidR="0050482F" w:rsidRPr="00A63F52" w14:paraId="55CFDF7C" w14:textId="77777777" w:rsidTr="00B819C0">
        <w:trPr>
          <w:trHeight w:val="398"/>
        </w:trPr>
        <w:tc>
          <w:tcPr>
            <w:tcW w:w="9635" w:type="dxa"/>
            <w:gridSpan w:val="3"/>
          </w:tcPr>
          <w:p w14:paraId="5948B836" w14:textId="19A12648" w:rsidR="0050482F" w:rsidRPr="00F16C86" w:rsidRDefault="00B26731" w:rsidP="00F16C86">
            <w:pPr>
              <w:pStyle w:val="Titre3"/>
              <w:numPr>
                <w:ilvl w:val="0"/>
                <w:numId w:val="15"/>
              </w:numPr>
              <w:outlineLvl w:val="2"/>
              <w:rPr>
                <w:rFonts w:ascii="Calibri" w:hAnsi="Calibri" w:cs="Calibri"/>
                <w:color w:val="auto"/>
                <w:sz w:val="22"/>
                <w:szCs w:val="22"/>
              </w:rPr>
            </w:pPr>
            <w:bookmarkStart w:id="8" w:name="_Toc111047586"/>
            <w:bookmarkStart w:id="9" w:name="_Toc115689850"/>
            <w:r w:rsidRPr="00F16C86">
              <w:rPr>
                <w:rFonts w:ascii="Calibri" w:hAnsi="Calibri" w:cs="Calibri"/>
                <w:color w:val="auto"/>
                <w:sz w:val="22"/>
                <w:szCs w:val="22"/>
              </w:rPr>
              <w:t>El Bitcoin en el derecho</w:t>
            </w:r>
            <w:bookmarkEnd w:id="8"/>
            <w:bookmarkEnd w:id="9"/>
          </w:p>
        </w:tc>
      </w:tr>
      <w:tr w:rsidR="0050482F" w:rsidRPr="00A63F52" w14:paraId="46DD30B4" w14:textId="77777777" w:rsidTr="00B819C0">
        <w:tc>
          <w:tcPr>
            <w:tcW w:w="2122" w:type="dxa"/>
          </w:tcPr>
          <w:p w14:paraId="22BD7928" w14:textId="48F6F3DC" w:rsidR="0050482F" w:rsidRPr="00A63F52" w:rsidRDefault="00B26731" w:rsidP="00ED3ED1">
            <w:pPr>
              <w:jc w:val="both"/>
              <w:rPr>
                <w:rFonts w:ascii="Calibri" w:hAnsi="Calibri" w:cs="Calibri"/>
                <w:sz w:val="22"/>
                <w:szCs w:val="22"/>
                <w:lang w:val="es-AR"/>
              </w:rPr>
            </w:pPr>
            <w:r w:rsidRPr="00A63F52">
              <w:rPr>
                <w:rFonts w:ascii="Calibri" w:hAnsi="Calibri" w:cs="Calibri"/>
                <w:sz w:val="22"/>
                <w:szCs w:val="22"/>
                <w:lang w:val="es-AR"/>
              </w:rPr>
              <w:t>Código Monetario y Financiero</w:t>
            </w:r>
          </w:p>
        </w:tc>
        <w:tc>
          <w:tcPr>
            <w:tcW w:w="5811" w:type="dxa"/>
          </w:tcPr>
          <w:p w14:paraId="59DDB697" w14:textId="558B91F2" w:rsidR="0050482F" w:rsidRPr="00A63F52" w:rsidRDefault="00B26731" w:rsidP="00ED3ED1">
            <w:pPr>
              <w:jc w:val="both"/>
              <w:rPr>
                <w:rFonts w:ascii="Calibri" w:hAnsi="Calibri" w:cs="Calibri"/>
                <w:sz w:val="22"/>
                <w:szCs w:val="22"/>
                <w:lang w:val="es-AR"/>
              </w:rPr>
            </w:pPr>
            <w:r w:rsidRPr="00A63F52">
              <w:rPr>
                <w:rFonts w:ascii="Calibri" w:hAnsi="Calibri" w:cs="Calibri"/>
                <w:sz w:val="22"/>
                <w:szCs w:val="22"/>
                <w:lang w:val="es-AR"/>
              </w:rPr>
              <w:t>El Bitcoin no es una moneda de curso legal</w:t>
            </w:r>
          </w:p>
        </w:tc>
        <w:tc>
          <w:tcPr>
            <w:tcW w:w="1702" w:type="dxa"/>
          </w:tcPr>
          <w:p w14:paraId="29B2AE80" w14:textId="6CD7A82A" w:rsidR="0050482F" w:rsidRPr="00A63F52" w:rsidRDefault="00B26731" w:rsidP="00ED3ED1">
            <w:pPr>
              <w:jc w:val="both"/>
              <w:rPr>
                <w:rFonts w:ascii="Calibri" w:hAnsi="Calibri" w:cs="Calibri"/>
                <w:sz w:val="22"/>
                <w:szCs w:val="22"/>
                <w:lang w:val="es-AR"/>
              </w:rPr>
            </w:pPr>
            <w:r w:rsidRPr="00A63F52">
              <w:rPr>
                <w:rFonts w:ascii="Calibri" w:hAnsi="Calibri" w:cs="Calibri"/>
                <w:sz w:val="22"/>
                <w:szCs w:val="22"/>
                <w:lang w:val="es-AR"/>
              </w:rPr>
              <w:t>Ídem</w:t>
            </w:r>
          </w:p>
        </w:tc>
      </w:tr>
      <w:tr w:rsidR="0050482F" w:rsidRPr="00A63F52" w14:paraId="67101791" w14:textId="77777777" w:rsidTr="00B819C0">
        <w:tc>
          <w:tcPr>
            <w:tcW w:w="2122" w:type="dxa"/>
          </w:tcPr>
          <w:p w14:paraId="1FC7C14A" w14:textId="77777777" w:rsidR="0050482F" w:rsidRPr="00A63F52" w:rsidRDefault="00B26731" w:rsidP="00ED3ED1">
            <w:pPr>
              <w:jc w:val="both"/>
              <w:rPr>
                <w:rFonts w:ascii="Calibri" w:hAnsi="Calibri" w:cs="Calibri"/>
                <w:sz w:val="22"/>
                <w:szCs w:val="22"/>
                <w:lang w:val="es-AR"/>
              </w:rPr>
            </w:pPr>
            <w:r w:rsidRPr="00A63F52">
              <w:rPr>
                <w:rFonts w:ascii="Calibri" w:hAnsi="Calibri" w:cs="Calibri"/>
                <w:sz w:val="22"/>
                <w:szCs w:val="22"/>
                <w:lang w:val="es-AR"/>
              </w:rPr>
              <w:t>Derecho civil</w:t>
            </w:r>
          </w:p>
          <w:p w14:paraId="2EA238D1" w14:textId="03C460F1" w:rsidR="00B26731" w:rsidRPr="00A63F52" w:rsidRDefault="00B26731" w:rsidP="00ED3ED1">
            <w:pPr>
              <w:jc w:val="both"/>
              <w:rPr>
                <w:rFonts w:ascii="Calibri" w:hAnsi="Calibri" w:cs="Calibri"/>
                <w:sz w:val="22"/>
                <w:szCs w:val="22"/>
                <w:lang w:val="es-AR"/>
              </w:rPr>
            </w:pPr>
          </w:p>
        </w:tc>
        <w:tc>
          <w:tcPr>
            <w:tcW w:w="5811" w:type="dxa"/>
          </w:tcPr>
          <w:p w14:paraId="206A7215" w14:textId="0BCB985D" w:rsidR="0050482F" w:rsidRPr="00A63F52" w:rsidRDefault="00B26731" w:rsidP="00ED3ED1">
            <w:pPr>
              <w:ind w:firstLine="360"/>
              <w:jc w:val="both"/>
              <w:rPr>
                <w:rFonts w:ascii="Calibri" w:hAnsi="Calibri" w:cs="Calibri"/>
                <w:sz w:val="22"/>
                <w:szCs w:val="22"/>
                <w:lang w:val="es-AR"/>
              </w:rPr>
            </w:pPr>
            <w:r w:rsidRPr="00A63F52">
              <w:rPr>
                <w:rFonts w:ascii="Calibri" w:hAnsi="Calibri" w:cs="Calibri"/>
                <w:sz w:val="22"/>
                <w:szCs w:val="22"/>
                <w:lang w:val="es-AR"/>
              </w:rPr>
              <w:t xml:space="preserve">El Código Civil francés define el bitcoin como "un bien fungible y consumible, asimilándolo así a la moneda de curso legal". En base a esta definición el préstamo de bitcoin se califica como un préstamo al consumo, que obliga al prestatario a devolver algo equivalente en calidad y </w:t>
            </w:r>
            <w:r w:rsidR="00B96DB3" w:rsidRPr="00A63F52">
              <w:rPr>
                <w:rFonts w:ascii="Calibri" w:hAnsi="Calibri" w:cs="Calibri"/>
                <w:sz w:val="22"/>
                <w:szCs w:val="22"/>
                <w:lang w:val="es-AR"/>
              </w:rPr>
              <w:t>cantidad,</w:t>
            </w:r>
            <w:r w:rsidRPr="00A63F52">
              <w:rPr>
                <w:rFonts w:ascii="Calibri" w:hAnsi="Calibri" w:cs="Calibri"/>
                <w:sz w:val="22"/>
                <w:szCs w:val="22"/>
                <w:lang w:val="es-AR"/>
              </w:rPr>
              <w:t xml:space="preserve"> pero no la cosa prestada.</w:t>
            </w:r>
          </w:p>
        </w:tc>
        <w:tc>
          <w:tcPr>
            <w:tcW w:w="1702" w:type="dxa"/>
          </w:tcPr>
          <w:p w14:paraId="2EA76666" w14:textId="4FBAE8ED" w:rsidR="0050482F" w:rsidRPr="00A63F52" w:rsidRDefault="00B26731" w:rsidP="00ED3ED1">
            <w:pPr>
              <w:jc w:val="both"/>
              <w:rPr>
                <w:rFonts w:ascii="Calibri" w:hAnsi="Calibri" w:cs="Calibri"/>
                <w:sz w:val="22"/>
                <w:szCs w:val="22"/>
                <w:lang w:val="es-AR"/>
              </w:rPr>
            </w:pPr>
            <w:r w:rsidRPr="00A63F52">
              <w:rPr>
                <w:rFonts w:ascii="Calibri" w:hAnsi="Calibri" w:cs="Calibri"/>
                <w:sz w:val="22"/>
                <w:szCs w:val="22"/>
                <w:lang w:val="es-AR"/>
              </w:rPr>
              <w:t>Ídem</w:t>
            </w:r>
          </w:p>
        </w:tc>
      </w:tr>
      <w:tr w:rsidR="0050482F" w:rsidRPr="00A63F52" w14:paraId="2DAE339D" w14:textId="77777777" w:rsidTr="00B819C0">
        <w:tc>
          <w:tcPr>
            <w:tcW w:w="2122" w:type="dxa"/>
          </w:tcPr>
          <w:p w14:paraId="6F64FE93" w14:textId="33F07FE4" w:rsidR="0050482F" w:rsidRPr="00A63F52" w:rsidRDefault="00B3154E" w:rsidP="00ED3ED1">
            <w:pPr>
              <w:jc w:val="both"/>
              <w:rPr>
                <w:rFonts w:ascii="Calibri" w:hAnsi="Calibri" w:cs="Calibri"/>
                <w:sz w:val="22"/>
                <w:szCs w:val="22"/>
                <w:lang w:val="es-AR"/>
              </w:rPr>
            </w:pPr>
            <w:r w:rsidRPr="00A63F52">
              <w:rPr>
                <w:rFonts w:ascii="Calibri" w:hAnsi="Calibri" w:cs="Calibri"/>
                <w:sz w:val="22"/>
                <w:szCs w:val="22"/>
                <w:lang w:val="es-AR"/>
              </w:rPr>
              <w:t>Derecho fiscal</w:t>
            </w:r>
          </w:p>
        </w:tc>
        <w:tc>
          <w:tcPr>
            <w:tcW w:w="7513" w:type="dxa"/>
            <w:gridSpan w:val="2"/>
          </w:tcPr>
          <w:p w14:paraId="108732A2" w14:textId="7ADAABB8" w:rsidR="0050482F" w:rsidRPr="00A63F52" w:rsidRDefault="00B3154E" w:rsidP="00ED3ED1">
            <w:pPr>
              <w:jc w:val="both"/>
              <w:rPr>
                <w:rFonts w:ascii="Calibri" w:hAnsi="Calibri" w:cs="Calibri"/>
                <w:sz w:val="22"/>
                <w:szCs w:val="22"/>
                <w:lang w:val="es-AR"/>
              </w:rPr>
            </w:pPr>
            <w:r w:rsidRPr="00A63F52">
              <w:rPr>
                <w:rFonts w:ascii="Calibri" w:hAnsi="Calibri" w:cs="Calibri"/>
                <w:sz w:val="22"/>
                <w:szCs w:val="22"/>
                <w:lang w:val="es-AR"/>
              </w:rPr>
              <w:t>Vea el desarrollo de este artículo</w:t>
            </w:r>
          </w:p>
        </w:tc>
      </w:tr>
    </w:tbl>
    <w:p w14:paraId="244E9D9A" w14:textId="6B13201D" w:rsidR="00BD2EEF" w:rsidRPr="00A63F52" w:rsidRDefault="00BD2EEF" w:rsidP="00ED3ED1">
      <w:pPr>
        <w:jc w:val="both"/>
        <w:rPr>
          <w:rFonts w:ascii="Calibri" w:hAnsi="Calibri" w:cs="Calibri"/>
          <w:sz w:val="22"/>
          <w:szCs w:val="22"/>
          <w:lang w:val="es-AR"/>
        </w:rPr>
      </w:pPr>
    </w:p>
    <w:tbl>
      <w:tblPr>
        <w:tblStyle w:val="Grilledutableau"/>
        <w:tblW w:w="9635" w:type="dxa"/>
        <w:tblCellMar>
          <w:top w:w="170" w:type="dxa"/>
          <w:left w:w="57" w:type="dxa"/>
          <w:bottom w:w="170" w:type="dxa"/>
          <w:right w:w="57" w:type="dxa"/>
        </w:tblCellMar>
        <w:tblLook w:val="04A0" w:firstRow="1" w:lastRow="0" w:firstColumn="1" w:lastColumn="0" w:noHBand="0" w:noVBand="1"/>
      </w:tblPr>
      <w:tblGrid>
        <w:gridCol w:w="2122"/>
        <w:gridCol w:w="3969"/>
        <w:gridCol w:w="3544"/>
      </w:tblGrid>
      <w:tr w:rsidR="0041421D" w:rsidRPr="00A63F52" w14:paraId="678BEE26" w14:textId="77777777" w:rsidTr="00B819C0">
        <w:trPr>
          <w:trHeight w:val="629"/>
        </w:trPr>
        <w:tc>
          <w:tcPr>
            <w:tcW w:w="9635" w:type="dxa"/>
            <w:gridSpan w:val="3"/>
          </w:tcPr>
          <w:p w14:paraId="1CE064E9" w14:textId="44DBBDBF" w:rsidR="0041421D" w:rsidRPr="00A63F52" w:rsidRDefault="0041421D" w:rsidP="00F16C86">
            <w:pPr>
              <w:pStyle w:val="Titre3"/>
              <w:numPr>
                <w:ilvl w:val="0"/>
                <w:numId w:val="15"/>
              </w:numPr>
              <w:outlineLvl w:val="2"/>
              <w:rPr>
                <w:rFonts w:ascii="Calibri" w:hAnsi="Calibri" w:cs="Calibri"/>
                <w:color w:val="4472C4" w:themeColor="accent1"/>
                <w:sz w:val="22"/>
                <w:szCs w:val="22"/>
                <w:lang w:val="es-AR"/>
              </w:rPr>
            </w:pPr>
            <w:bookmarkStart w:id="10" w:name="_Toc111047587"/>
            <w:bookmarkStart w:id="11" w:name="_Toc115689851"/>
            <w:r w:rsidRPr="00F16C86">
              <w:rPr>
                <w:rFonts w:ascii="Calibri" w:hAnsi="Calibri" w:cs="Calibri"/>
                <w:color w:val="auto"/>
                <w:sz w:val="22"/>
                <w:szCs w:val="22"/>
              </w:rPr>
              <w:lastRenderedPageBreak/>
              <w:t>Evolución de las profesiones de notari</w:t>
            </w:r>
            <w:r w:rsidR="00D31CB9" w:rsidRPr="00F16C86">
              <w:rPr>
                <w:rFonts w:ascii="Calibri" w:hAnsi="Calibri" w:cs="Calibri"/>
                <w:color w:val="auto"/>
                <w:sz w:val="22"/>
                <w:szCs w:val="22"/>
              </w:rPr>
              <w:t>a</w:t>
            </w:r>
            <w:r w:rsidRPr="00F16C86">
              <w:rPr>
                <w:rFonts w:ascii="Calibri" w:hAnsi="Calibri" w:cs="Calibri"/>
                <w:color w:val="auto"/>
                <w:sz w:val="22"/>
                <w:szCs w:val="22"/>
              </w:rPr>
              <w:t xml:space="preserve"> y </w:t>
            </w:r>
            <w:r w:rsidR="00842E3B" w:rsidRPr="00F16C86">
              <w:rPr>
                <w:rFonts w:ascii="Calibri" w:hAnsi="Calibri" w:cs="Calibri"/>
                <w:color w:val="auto"/>
                <w:sz w:val="22"/>
                <w:szCs w:val="22"/>
              </w:rPr>
              <w:t>de gestión</w:t>
            </w:r>
            <w:r w:rsidRPr="00F16C86">
              <w:rPr>
                <w:rFonts w:ascii="Calibri" w:hAnsi="Calibri" w:cs="Calibri"/>
                <w:color w:val="auto"/>
                <w:sz w:val="22"/>
                <w:szCs w:val="22"/>
              </w:rPr>
              <w:t xml:space="preserve"> de patrimonio</w:t>
            </w:r>
            <w:bookmarkEnd w:id="10"/>
            <w:bookmarkEnd w:id="11"/>
          </w:p>
        </w:tc>
      </w:tr>
      <w:tr w:rsidR="0041421D" w:rsidRPr="00A63F52" w14:paraId="0CF1EC47" w14:textId="77777777" w:rsidTr="00B819C0">
        <w:tc>
          <w:tcPr>
            <w:tcW w:w="2122" w:type="dxa"/>
          </w:tcPr>
          <w:p w14:paraId="7E3C07C9" w14:textId="174B74F5" w:rsidR="0041421D" w:rsidRPr="00A63F52" w:rsidRDefault="00842E3B" w:rsidP="00ED3ED1">
            <w:pPr>
              <w:jc w:val="both"/>
              <w:rPr>
                <w:rFonts w:ascii="Calibri" w:hAnsi="Calibri" w:cs="Calibri"/>
                <w:sz w:val="22"/>
                <w:szCs w:val="22"/>
                <w:lang w:val="es-AR"/>
              </w:rPr>
            </w:pPr>
            <w:r w:rsidRPr="00A63F52">
              <w:rPr>
                <w:rFonts w:ascii="Calibri" w:hAnsi="Calibri" w:cs="Calibri"/>
                <w:sz w:val="22"/>
                <w:szCs w:val="22"/>
                <w:lang w:val="es-AR"/>
              </w:rPr>
              <w:t>Evolución</w:t>
            </w:r>
            <w:r w:rsidR="00F11281" w:rsidRPr="00A63F52">
              <w:rPr>
                <w:rFonts w:ascii="Calibri" w:hAnsi="Calibri" w:cs="Calibri"/>
                <w:sz w:val="22"/>
                <w:szCs w:val="22"/>
                <w:lang w:val="es-AR"/>
              </w:rPr>
              <w:t xml:space="preserve"> de los notarios y </w:t>
            </w:r>
            <w:r w:rsidRPr="00A63F52">
              <w:rPr>
                <w:rFonts w:ascii="Calibri" w:hAnsi="Calibri" w:cs="Calibri"/>
                <w:sz w:val="22"/>
                <w:szCs w:val="22"/>
                <w:lang w:val="es-AR"/>
              </w:rPr>
              <w:t>ingenieros de patrimonio</w:t>
            </w:r>
          </w:p>
        </w:tc>
        <w:tc>
          <w:tcPr>
            <w:tcW w:w="3969" w:type="dxa"/>
          </w:tcPr>
          <w:p w14:paraId="7A8AF42C" w14:textId="77777777" w:rsidR="00842E3B" w:rsidRPr="00A63F52" w:rsidRDefault="00842E3B" w:rsidP="00ED3ED1">
            <w:pPr>
              <w:jc w:val="both"/>
              <w:rPr>
                <w:rFonts w:ascii="Calibri" w:hAnsi="Calibri" w:cs="Calibri"/>
                <w:sz w:val="22"/>
                <w:szCs w:val="22"/>
                <w:lang w:val="es-AR"/>
              </w:rPr>
            </w:pPr>
            <w:r w:rsidRPr="00A63F52">
              <w:rPr>
                <w:rFonts w:ascii="Calibri" w:hAnsi="Calibri" w:cs="Calibri"/>
                <w:sz w:val="22"/>
                <w:szCs w:val="22"/>
                <w:lang w:val="es-AR"/>
              </w:rPr>
              <w:t xml:space="preserve">En el congreso de notarios de septiembre de 2021 se trataron temas de patrimonio relacionados con la actividad de las criptomonedas en su informe anual. </w:t>
            </w:r>
          </w:p>
          <w:p w14:paraId="3FC64122" w14:textId="77777777" w:rsidR="00842E3B" w:rsidRPr="00A63F52" w:rsidRDefault="00842E3B" w:rsidP="00ED3ED1">
            <w:pPr>
              <w:jc w:val="both"/>
              <w:rPr>
                <w:rFonts w:ascii="Calibri" w:hAnsi="Calibri" w:cs="Calibri"/>
                <w:sz w:val="22"/>
                <w:szCs w:val="22"/>
              </w:rPr>
            </w:pPr>
          </w:p>
          <w:p w14:paraId="33BD86A6" w14:textId="77777777" w:rsidR="00842E3B" w:rsidRPr="00A63F52" w:rsidRDefault="00842E3B" w:rsidP="00ED3ED1">
            <w:pPr>
              <w:jc w:val="both"/>
              <w:rPr>
                <w:rFonts w:ascii="Calibri" w:hAnsi="Calibri" w:cs="Calibri"/>
                <w:sz w:val="22"/>
                <w:szCs w:val="22"/>
                <w:lang w:val="es-AR"/>
              </w:rPr>
            </w:pPr>
            <w:r w:rsidRPr="00A63F52">
              <w:rPr>
                <w:rFonts w:ascii="Calibri" w:hAnsi="Calibri" w:cs="Calibri"/>
                <w:sz w:val="22"/>
                <w:szCs w:val="22"/>
                <w:lang w:val="es-AR"/>
              </w:rPr>
              <w:t xml:space="preserve">Antes de esta fecha, pocos estaban especializados en temas de activos digitales y criptomonedas. </w:t>
            </w:r>
          </w:p>
          <w:p w14:paraId="08E36B38" w14:textId="77777777" w:rsidR="00842E3B" w:rsidRPr="00A63F52" w:rsidRDefault="00842E3B" w:rsidP="00ED3ED1">
            <w:pPr>
              <w:jc w:val="both"/>
              <w:rPr>
                <w:rFonts w:ascii="Calibri" w:hAnsi="Calibri" w:cs="Calibri"/>
                <w:sz w:val="22"/>
                <w:szCs w:val="22"/>
                <w:lang w:val="es-AR"/>
              </w:rPr>
            </w:pPr>
          </w:p>
          <w:p w14:paraId="1794FFD0" w14:textId="77777777" w:rsidR="00842E3B" w:rsidRPr="00A63F52" w:rsidRDefault="00842E3B" w:rsidP="00ED3ED1">
            <w:pPr>
              <w:jc w:val="both"/>
              <w:rPr>
                <w:rFonts w:ascii="Calibri" w:hAnsi="Calibri" w:cs="Calibri"/>
                <w:sz w:val="22"/>
                <w:szCs w:val="22"/>
                <w:lang w:val="es-AR"/>
              </w:rPr>
            </w:pPr>
            <w:r w:rsidRPr="00A63F52">
              <w:rPr>
                <w:rFonts w:ascii="Calibri" w:hAnsi="Calibri" w:cs="Calibri"/>
                <w:sz w:val="22"/>
                <w:szCs w:val="22"/>
                <w:lang w:val="es-AR"/>
              </w:rPr>
              <w:t xml:space="preserve">Del mismo modo, son raros los ingenieros de patrimonio y los asesores patrimoniales especializados en la actividad de las criptomonedas en 2021. </w:t>
            </w:r>
          </w:p>
          <w:p w14:paraId="03E39EA4" w14:textId="77777777" w:rsidR="0041421D" w:rsidRPr="00A63F52" w:rsidRDefault="0041421D" w:rsidP="00ED3ED1">
            <w:pPr>
              <w:jc w:val="both"/>
              <w:rPr>
                <w:rFonts w:ascii="Calibri" w:hAnsi="Calibri" w:cs="Calibri"/>
                <w:sz w:val="22"/>
                <w:szCs w:val="22"/>
              </w:rPr>
            </w:pPr>
          </w:p>
          <w:p w14:paraId="4E49AE45" w14:textId="77777777" w:rsidR="0041421D" w:rsidRPr="00A63F52" w:rsidRDefault="0041421D" w:rsidP="00ED3ED1">
            <w:pPr>
              <w:jc w:val="both"/>
              <w:rPr>
                <w:rFonts w:ascii="Calibri" w:hAnsi="Calibri" w:cs="Calibri"/>
                <w:sz w:val="22"/>
                <w:szCs w:val="22"/>
              </w:rPr>
            </w:pPr>
          </w:p>
        </w:tc>
        <w:tc>
          <w:tcPr>
            <w:tcW w:w="3544" w:type="dxa"/>
          </w:tcPr>
          <w:p w14:paraId="71118E31" w14:textId="1DA95141" w:rsidR="00736808" w:rsidRPr="00A63F52" w:rsidRDefault="00736808" w:rsidP="00ED3ED1">
            <w:pPr>
              <w:jc w:val="both"/>
              <w:rPr>
                <w:rFonts w:ascii="Calibri" w:hAnsi="Calibri" w:cs="Calibri"/>
                <w:sz w:val="22"/>
                <w:szCs w:val="22"/>
                <w:lang w:val="es-AR"/>
              </w:rPr>
            </w:pPr>
            <w:r w:rsidRPr="00A63F52">
              <w:rPr>
                <w:rFonts w:ascii="Calibri" w:hAnsi="Calibri" w:cs="Calibri"/>
                <w:sz w:val="22"/>
                <w:szCs w:val="22"/>
                <w:lang w:val="es-AR"/>
              </w:rPr>
              <w:t xml:space="preserve">El número de notarios y asesores de gestión </w:t>
            </w:r>
            <w:r w:rsidR="00181A15" w:rsidRPr="00A63F52">
              <w:rPr>
                <w:rFonts w:ascii="Calibri" w:hAnsi="Calibri" w:cs="Calibri"/>
                <w:sz w:val="22"/>
                <w:szCs w:val="22"/>
                <w:lang w:val="es-AR"/>
              </w:rPr>
              <w:t>de patrimonio</w:t>
            </w:r>
            <w:r w:rsidRPr="00A63F52">
              <w:rPr>
                <w:rFonts w:ascii="Calibri" w:hAnsi="Calibri" w:cs="Calibri"/>
                <w:sz w:val="22"/>
                <w:szCs w:val="22"/>
                <w:lang w:val="es-AR"/>
              </w:rPr>
              <w:t xml:space="preserve"> centrados en la actividad de las criptomonedas está cambiando. También lo son las prácticas notariales. </w:t>
            </w:r>
          </w:p>
          <w:p w14:paraId="76DDADBF" w14:textId="77777777" w:rsidR="00736808" w:rsidRPr="00A63F52" w:rsidRDefault="00736808" w:rsidP="00ED3ED1">
            <w:pPr>
              <w:jc w:val="both"/>
              <w:rPr>
                <w:rFonts w:ascii="Calibri" w:hAnsi="Calibri" w:cs="Calibri"/>
                <w:sz w:val="22"/>
                <w:szCs w:val="22"/>
                <w:lang w:val="es-AR"/>
              </w:rPr>
            </w:pPr>
          </w:p>
          <w:p w14:paraId="7BAF79A7" w14:textId="4988F2A6" w:rsidR="00736808" w:rsidRPr="00A63F52" w:rsidRDefault="00736808" w:rsidP="00ED3ED1">
            <w:pPr>
              <w:jc w:val="both"/>
              <w:rPr>
                <w:rFonts w:ascii="Calibri" w:hAnsi="Calibri" w:cs="Calibri"/>
                <w:sz w:val="22"/>
                <w:szCs w:val="22"/>
                <w:lang w:val="es-AR"/>
              </w:rPr>
            </w:pPr>
            <w:r w:rsidRPr="00A63F52">
              <w:rPr>
                <w:rFonts w:ascii="Calibri" w:hAnsi="Calibri" w:cs="Calibri"/>
                <w:sz w:val="22"/>
                <w:szCs w:val="22"/>
                <w:lang w:val="es-AR"/>
              </w:rPr>
              <w:t>Los profesionales de la gestión de patrimonios plantean cada vez con más frecuencia cuestiones relacionadas con el patrimonio, incluidos los criptoactivos.</w:t>
            </w:r>
          </w:p>
          <w:p w14:paraId="15DAFB93" w14:textId="0412515E" w:rsidR="0041421D" w:rsidRPr="00A63F52" w:rsidRDefault="0041421D" w:rsidP="00ED3ED1">
            <w:pPr>
              <w:jc w:val="both"/>
              <w:rPr>
                <w:rFonts w:ascii="Calibri" w:hAnsi="Calibri" w:cs="Calibri"/>
                <w:sz w:val="22"/>
                <w:szCs w:val="22"/>
              </w:rPr>
            </w:pPr>
          </w:p>
        </w:tc>
      </w:tr>
      <w:tr w:rsidR="0041421D" w:rsidRPr="00A63F52" w14:paraId="25C91350" w14:textId="77777777" w:rsidTr="00B819C0">
        <w:tc>
          <w:tcPr>
            <w:tcW w:w="2122" w:type="dxa"/>
          </w:tcPr>
          <w:p w14:paraId="38022A46" w14:textId="05E5BD8E" w:rsidR="0041421D" w:rsidRPr="00A63F52" w:rsidRDefault="006D6A16" w:rsidP="00ED3ED1">
            <w:pPr>
              <w:jc w:val="both"/>
              <w:rPr>
                <w:rFonts w:ascii="Calibri" w:hAnsi="Calibri" w:cs="Calibri"/>
                <w:sz w:val="22"/>
                <w:szCs w:val="22"/>
                <w:lang w:val="es-AR"/>
              </w:rPr>
            </w:pPr>
            <w:r w:rsidRPr="00A63F52">
              <w:rPr>
                <w:rFonts w:ascii="Calibri" w:hAnsi="Calibri" w:cs="Calibri"/>
                <w:sz w:val="22"/>
                <w:szCs w:val="22"/>
                <w:lang w:val="es-AR"/>
              </w:rPr>
              <w:t>Evolución de los contables</w:t>
            </w:r>
          </w:p>
        </w:tc>
        <w:tc>
          <w:tcPr>
            <w:tcW w:w="3969" w:type="dxa"/>
          </w:tcPr>
          <w:p w14:paraId="461C8809" w14:textId="7B492763" w:rsidR="0041421D" w:rsidRPr="00A63F52" w:rsidRDefault="006D6A16" w:rsidP="00ED3ED1">
            <w:pPr>
              <w:jc w:val="both"/>
              <w:rPr>
                <w:rFonts w:ascii="Calibri" w:hAnsi="Calibri" w:cs="Calibri"/>
                <w:sz w:val="22"/>
                <w:szCs w:val="22"/>
                <w:lang w:val="es-AR"/>
              </w:rPr>
            </w:pPr>
            <w:r w:rsidRPr="00A63F52">
              <w:rPr>
                <w:rFonts w:ascii="Calibri" w:hAnsi="Calibri" w:cs="Calibri"/>
                <w:sz w:val="22"/>
                <w:szCs w:val="22"/>
                <w:lang w:val="es-AR"/>
              </w:rPr>
              <w:t>Pocos contadores públicos especializados en criptomonedas en 2021</w:t>
            </w:r>
          </w:p>
        </w:tc>
        <w:tc>
          <w:tcPr>
            <w:tcW w:w="3544" w:type="dxa"/>
          </w:tcPr>
          <w:p w14:paraId="56A01F27" w14:textId="77777777" w:rsidR="006D6A16" w:rsidRPr="00A63F52" w:rsidRDefault="006D6A16" w:rsidP="00ED3ED1">
            <w:pPr>
              <w:jc w:val="both"/>
              <w:rPr>
                <w:rFonts w:ascii="Calibri" w:hAnsi="Calibri" w:cs="Calibri"/>
                <w:sz w:val="22"/>
                <w:szCs w:val="22"/>
                <w:lang w:val="es-AR"/>
              </w:rPr>
            </w:pPr>
            <w:r w:rsidRPr="00A63F52">
              <w:rPr>
                <w:rFonts w:ascii="Calibri" w:hAnsi="Calibri" w:cs="Calibri"/>
                <w:sz w:val="22"/>
                <w:szCs w:val="22"/>
                <w:lang w:val="es-AR"/>
              </w:rPr>
              <w:t xml:space="preserve">El número de contables especializados en criptografía crece día a día. </w:t>
            </w:r>
          </w:p>
          <w:p w14:paraId="1FA8B233" w14:textId="2D647CDF" w:rsidR="0041421D" w:rsidRPr="00A63F52" w:rsidRDefault="006D6A16" w:rsidP="00ED3ED1">
            <w:pPr>
              <w:jc w:val="both"/>
              <w:rPr>
                <w:rFonts w:ascii="Calibri" w:hAnsi="Calibri" w:cs="Calibri"/>
                <w:sz w:val="22"/>
                <w:szCs w:val="22"/>
              </w:rPr>
            </w:pPr>
            <w:r w:rsidRPr="00A63F52">
              <w:rPr>
                <w:rFonts w:ascii="Calibri" w:hAnsi="Calibri" w:cs="Calibri"/>
                <w:sz w:val="22"/>
                <w:szCs w:val="22"/>
                <w:lang w:val="es-AR"/>
              </w:rPr>
              <w:t xml:space="preserve">Los principales forman parte de la Asociación para el </w:t>
            </w:r>
            <w:r w:rsidR="00181A15" w:rsidRPr="00A63F52">
              <w:rPr>
                <w:rFonts w:ascii="Calibri" w:hAnsi="Calibri" w:cs="Calibri"/>
                <w:sz w:val="22"/>
                <w:szCs w:val="22"/>
                <w:lang w:val="es-AR"/>
              </w:rPr>
              <w:t>Desarrollo</w:t>
            </w:r>
            <w:r w:rsidRPr="00A63F52">
              <w:rPr>
                <w:rFonts w:ascii="Calibri" w:hAnsi="Calibri" w:cs="Calibri"/>
                <w:sz w:val="22"/>
                <w:szCs w:val="22"/>
                <w:lang w:val="es-AR"/>
              </w:rPr>
              <w:t xml:space="preserve"> de  Activos Digitales (ADAN</w:t>
            </w:r>
            <w:r w:rsidRPr="00A63F52">
              <w:rPr>
                <w:rStyle w:val="Appelnotedebasdep"/>
                <w:rFonts w:ascii="Calibri" w:hAnsi="Calibri" w:cs="Calibri"/>
                <w:sz w:val="22"/>
                <w:szCs w:val="22"/>
                <w:lang w:val="es-AR"/>
              </w:rPr>
              <w:footnoteReference w:id="6"/>
            </w:r>
            <w:r w:rsidRPr="00A63F52">
              <w:rPr>
                <w:rFonts w:ascii="Calibri" w:hAnsi="Calibri" w:cs="Calibri"/>
                <w:sz w:val="22"/>
                <w:szCs w:val="22"/>
                <w:lang w:val="es-AR"/>
              </w:rPr>
              <w:t>).</w:t>
            </w:r>
          </w:p>
        </w:tc>
      </w:tr>
    </w:tbl>
    <w:p w14:paraId="7A72D56A" w14:textId="0BF65907" w:rsidR="00D8547D" w:rsidRPr="00A63F52" w:rsidRDefault="00D8547D" w:rsidP="00ED3ED1">
      <w:pPr>
        <w:jc w:val="both"/>
        <w:rPr>
          <w:rFonts w:ascii="Calibri" w:hAnsi="Calibri" w:cs="Calibri"/>
          <w:sz w:val="22"/>
          <w:szCs w:val="22"/>
          <w:lang w:val="es-AR"/>
        </w:rPr>
      </w:pPr>
    </w:p>
    <w:p w14:paraId="04C22C07" w14:textId="281FAAC9" w:rsidR="0041421D" w:rsidRPr="00A63F52" w:rsidRDefault="0041421D" w:rsidP="00ED3ED1">
      <w:pPr>
        <w:jc w:val="both"/>
        <w:rPr>
          <w:rFonts w:ascii="Calibri" w:hAnsi="Calibri" w:cs="Calibri"/>
          <w:sz w:val="22"/>
          <w:szCs w:val="22"/>
          <w:lang w:val="es-AR"/>
        </w:rPr>
      </w:pPr>
    </w:p>
    <w:p w14:paraId="61E7BB3B" w14:textId="273EC110" w:rsidR="0041421D" w:rsidRPr="00A63F52" w:rsidRDefault="0041421D" w:rsidP="00ED3ED1">
      <w:pPr>
        <w:jc w:val="both"/>
        <w:rPr>
          <w:rFonts w:ascii="Calibri" w:hAnsi="Calibri" w:cs="Calibri"/>
          <w:sz w:val="22"/>
          <w:szCs w:val="22"/>
          <w:lang w:val="es-AR"/>
        </w:rPr>
      </w:pPr>
      <w:r w:rsidRPr="00A63F52">
        <w:rPr>
          <w:rFonts w:ascii="Calibri" w:hAnsi="Calibri" w:cs="Calibri"/>
          <w:sz w:val="22"/>
          <w:szCs w:val="22"/>
          <w:lang w:val="es-AR"/>
        </w:rPr>
        <w:t>Este cuadro destaca los principales cambios que se han producido en el último año.</w:t>
      </w:r>
    </w:p>
    <w:p w14:paraId="4491525C" w14:textId="5BBD6303" w:rsidR="00165316" w:rsidRPr="00A63F52" w:rsidRDefault="00165316" w:rsidP="00ED3ED1">
      <w:pPr>
        <w:jc w:val="both"/>
        <w:rPr>
          <w:rFonts w:ascii="Calibri" w:hAnsi="Calibri" w:cs="Calibri"/>
          <w:sz w:val="22"/>
          <w:szCs w:val="22"/>
          <w:lang w:val="es-AR"/>
        </w:rPr>
      </w:pPr>
    </w:p>
    <w:p w14:paraId="6936113E" w14:textId="633E97BF" w:rsidR="00553F97" w:rsidRPr="00A63F52" w:rsidRDefault="00553F97" w:rsidP="00ED3ED1">
      <w:pPr>
        <w:jc w:val="both"/>
        <w:rPr>
          <w:rFonts w:ascii="Calibri" w:hAnsi="Calibri" w:cs="Calibri"/>
          <w:sz w:val="22"/>
          <w:szCs w:val="22"/>
          <w:lang w:val="es-AR"/>
        </w:rPr>
      </w:pPr>
      <w:r w:rsidRPr="00A63F52">
        <w:rPr>
          <w:rFonts w:ascii="Calibri" w:hAnsi="Calibri" w:cs="Calibri"/>
          <w:sz w:val="22"/>
          <w:szCs w:val="22"/>
          <w:lang w:val="es-AR"/>
        </w:rPr>
        <w:br w:type="page"/>
      </w:r>
    </w:p>
    <w:p w14:paraId="735069CD" w14:textId="0A4ECC7E" w:rsidR="00BB6816" w:rsidRPr="00BD7CD6" w:rsidRDefault="00553F97" w:rsidP="00BD7CD6">
      <w:pPr>
        <w:pStyle w:val="Titre2"/>
        <w:numPr>
          <w:ilvl w:val="0"/>
          <w:numId w:val="11"/>
        </w:numPr>
        <w:ind w:left="1134" w:hanging="425"/>
        <w:rPr>
          <w:rFonts w:ascii="Calibri" w:hAnsi="Calibri" w:cs="Calibri"/>
          <w:caps/>
          <w:color w:val="auto"/>
          <w:sz w:val="22"/>
          <w:szCs w:val="22"/>
          <w:lang w:val="es-AR"/>
        </w:rPr>
      </w:pPr>
      <w:bookmarkStart w:id="12" w:name="_Toc111047588"/>
      <w:bookmarkStart w:id="13" w:name="_Toc115689852"/>
      <w:r w:rsidRPr="00BD7CD6">
        <w:rPr>
          <w:rFonts w:ascii="Calibri" w:hAnsi="Calibri" w:cs="Calibri"/>
          <w:caps/>
          <w:color w:val="auto"/>
          <w:sz w:val="22"/>
          <w:szCs w:val="22"/>
          <w:lang w:val="es-AR"/>
        </w:rPr>
        <w:lastRenderedPageBreak/>
        <w:t>¿Que sistema fiscal es aplicable para el individuo y para la empresa?</w:t>
      </w:r>
      <w:bookmarkEnd w:id="12"/>
      <w:bookmarkEnd w:id="13"/>
    </w:p>
    <w:p w14:paraId="6670A3F5" w14:textId="371B8454" w:rsidR="003E5428" w:rsidRPr="00A63F52" w:rsidRDefault="003E5428" w:rsidP="00ED3ED1">
      <w:pPr>
        <w:jc w:val="both"/>
        <w:rPr>
          <w:rFonts w:ascii="Calibri" w:hAnsi="Calibri" w:cs="Calibri"/>
          <w:color w:val="4472C4" w:themeColor="accent1"/>
          <w:sz w:val="22"/>
          <w:szCs w:val="22"/>
          <w:lang w:val="es-AR"/>
        </w:rPr>
      </w:pPr>
    </w:p>
    <w:p w14:paraId="35B06255" w14:textId="1E7BBAD3"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Es importante distinguir entre particulares y empresas, ya que la fiscalidad aplicable será diferente.</w:t>
      </w:r>
    </w:p>
    <w:p w14:paraId="0BBAE0D6" w14:textId="1B501D5A" w:rsidR="003E5428" w:rsidRPr="00A63F52" w:rsidRDefault="003E5428" w:rsidP="00ED3ED1">
      <w:pPr>
        <w:jc w:val="both"/>
        <w:rPr>
          <w:rFonts w:ascii="Calibri" w:hAnsi="Calibri" w:cs="Calibri"/>
          <w:sz w:val="22"/>
          <w:szCs w:val="22"/>
          <w:lang w:val="es-AR"/>
        </w:rPr>
      </w:pPr>
    </w:p>
    <w:p w14:paraId="6B82D498" w14:textId="45BD0C49" w:rsidR="003E5428" w:rsidRPr="00F16C86" w:rsidRDefault="003E5428" w:rsidP="00F16C86">
      <w:pPr>
        <w:pStyle w:val="Titre3"/>
        <w:numPr>
          <w:ilvl w:val="0"/>
          <w:numId w:val="16"/>
        </w:numPr>
        <w:rPr>
          <w:rFonts w:ascii="Calibri" w:hAnsi="Calibri" w:cs="Calibri"/>
          <w:color w:val="auto"/>
          <w:sz w:val="22"/>
          <w:szCs w:val="22"/>
        </w:rPr>
      </w:pPr>
      <w:bookmarkStart w:id="14" w:name="_Toc111047589"/>
      <w:bookmarkStart w:id="15" w:name="_Toc115689853"/>
      <w:r w:rsidRPr="00F16C86">
        <w:rPr>
          <w:rFonts w:ascii="Calibri" w:hAnsi="Calibri" w:cs="Calibri"/>
          <w:color w:val="auto"/>
          <w:sz w:val="22"/>
          <w:szCs w:val="22"/>
        </w:rPr>
        <w:t>Fiscalidad de las personas físicas</w:t>
      </w:r>
      <w:bookmarkEnd w:id="14"/>
      <w:bookmarkEnd w:id="15"/>
    </w:p>
    <w:p w14:paraId="4044674D" w14:textId="1B3BD8C8" w:rsidR="003E5428" w:rsidRPr="00A63F52" w:rsidRDefault="003E5428" w:rsidP="00ED3ED1">
      <w:pPr>
        <w:jc w:val="both"/>
        <w:rPr>
          <w:rFonts w:ascii="Calibri" w:hAnsi="Calibri" w:cs="Calibri"/>
          <w:sz w:val="22"/>
          <w:szCs w:val="22"/>
          <w:lang w:val="es-AR"/>
        </w:rPr>
      </w:pPr>
    </w:p>
    <w:p w14:paraId="22497D43" w14:textId="77777777"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 xml:space="preserve">En cuanto a la fiscalidad de las personas físicas, se abordarán dos puntos. En primer lugar, antes de cualquier imposición, basta con clasificar la actividad. En segundo lugar, se debatirá el destino de las plusvalías para los particulares. </w:t>
      </w:r>
    </w:p>
    <w:p w14:paraId="7857331A" w14:textId="77777777" w:rsidR="003E5428" w:rsidRPr="00A63F52" w:rsidRDefault="003E5428" w:rsidP="00ED3ED1">
      <w:pPr>
        <w:jc w:val="both"/>
        <w:rPr>
          <w:rFonts w:ascii="Calibri" w:hAnsi="Calibri" w:cs="Calibri"/>
          <w:sz w:val="22"/>
          <w:szCs w:val="22"/>
          <w:lang w:val="es-AR"/>
        </w:rPr>
      </w:pPr>
    </w:p>
    <w:p w14:paraId="44505C63" w14:textId="0904927C"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 xml:space="preserve">El año pasado hablamos de las áreas de mejora en el proyecto de </w:t>
      </w:r>
      <w:r w:rsidR="00AD0F65" w:rsidRPr="00A63F52">
        <w:rPr>
          <w:rFonts w:ascii="Calibri" w:hAnsi="Calibri" w:cs="Calibri"/>
          <w:sz w:val="22"/>
          <w:szCs w:val="22"/>
          <w:lang w:val="es-AR"/>
        </w:rPr>
        <w:t>“</w:t>
      </w:r>
      <w:r w:rsidRPr="00A63F52">
        <w:rPr>
          <w:rFonts w:ascii="Calibri" w:hAnsi="Calibri" w:cs="Calibri"/>
          <w:sz w:val="22"/>
          <w:szCs w:val="22"/>
          <w:lang w:val="es-AR"/>
        </w:rPr>
        <w:t>ley de finanza</w:t>
      </w:r>
      <w:r w:rsidR="00AD0F65" w:rsidRPr="00A63F52">
        <w:rPr>
          <w:rFonts w:ascii="Calibri" w:hAnsi="Calibri" w:cs="Calibri"/>
          <w:sz w:val="22"/>
          <w:szCs w:val="22"/>
          <w:lang w:val="es-AR"/>
        </w:rPr>
        <w:t>s”</w:t>
      </w:r>
      <w:r w:rsidRPr="00A63F52">
        <w:rPr>
          <w:rFonts w:ascii="Calibri" w:hAnsi="Calibri" w:cs="Calibri"/>
          <w:sz w:val="22"/>
          <w:szCs w:val="22"/>
          <w:lang w:val="es-AR"/>
        </w:rPr>
        <w:t xml:space="preserve"> de 2022. Entre los criterios mencionados, se debatieron los siguientes aspectos: </w:t>
      </w:r>
    </w:p>
    <w:p w14:paraId="59F52A30" w14:textId="77777777"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 xml:space="preserve">- "Hasta ahora, cuando una actividad de trading es calificada como práctica habitual, las ganancias de capital por la venta de criptomonedas tributan como Beneficios Industriales y Comerciales (BIC), lo que implica que la tributación puede ascender al 70% de las ganancias de capital. Se ha observado que esto lleva a muchas personas a trasladarse al extranjero para escapar de la incertidumbre. Se propone equiparar el comercio de criptomonedas con el de la bolsa de valores. Al considerarlas como operaciones bursátiles, estas actividades podrían considerarse no comerciales y escapar a la imposición de los beneficios industriales y comerciales. </w:t>
      </w:r>
    </w:p>
    <w:p w14:paraId="2D6066AE" w14:textId="1BC5B717"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 xml:space="preserve">- Otra propuesta de enmienda es la de reducir la fiscalidad para los contribuyentes más modestos. El impuesto único a tanto alzado del 30% se considera </w:t>
      </w:r>
      <w:r w:rsidR="00EA0BB3" w:rsidRPr="00A63F52">
        <w:rPr>
          <w:rFonts w:ascii="Calibri" w:hAnsi="Calibri" w:cs="Calibri"/>
          <w:sz w:val="22"/>
          <w:szCs w:val="22"/>
          <w:lang w:val="es-AR"/>
        </w:rPr>
        <w:t>un gravamen muy alto</w:t>
      </w:r>
      <w:r w:rsidRPr="00A63F52">
        <w:rPr>
          <w:rFonts w:ascii="Calibri" w:hAnsi="Calibri" w:cs="Calibri"/>
          <w:sz w:val="22"/>
          <w:szCs w:val="22"/>
          <w:lang w:val="es-AR"/>
        </w:rPr>
        <w:t xml:space="preserve"> para los más modestos. Se propone ofrecer a los contribuyentes más modestos elegir la escala progresiva del impuesto sobre la renta. </w:t>
      </w:r>
    </w:p>
    <w:p w14:paraId="664FE29F" w14:textId="77777777" w:rsidR="003E5428" w:rsidRPr="00A63F52" w:rsidRDefault="003E5428" w:rsidP="00ED3ED1">
      <w:pPr>
        <w:jc w:val="both"/>
        <w:rPr>
          <w:rFonts w:ascii="Calibri" w:hAnsi="Calibri" w:cs="Calibri"/>
          <w:sz w:val="22"/>
          <w:szCs w:val="22"/>
          <w:lang w:val="es-AR"/>
        </w:rPr>
      </w:pPr>
    </w:p>
    <w:p w14:paraId="61F82208" w14:textId="29D58016"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 xml:space="preserve">Estas dos enmiendas fueron aprobadas en su momento. Forman parte de la </w:t>
      </w:r>
      <w:r w:rsidR="00AD0F65" w:rsidRPr="00A63F52">
        <w:rPr>
          <w:rFonts w:ascii="Calibri" w:hAnsi="Calibri" w:cs="Calibri"/>
          <w:sz w:val="22"/>
          <w:szCs w:val="22"/>
          <w:lang w:val="es-AR"/>
        </w:rPr>
        <w:t>“</w:t>
      </w:r>
      <w:r w:rsidRPr="00A63F52">
        <w:rPr>
          <w:rFonts w:ascii="Calibri" w:hAnsi="Calibri" w:cs="Calibri"/>
          <w:sz w:val="22"/>
          <w:szCs w:val="22"/>
          <w:lang w:val="es-AR"/>
        </w:rPr>
        <w:t>ley de finan</w:t>
      </w:r>
      <w:r w:rsidR="00AD0F65" w:rsidRPr="00A63F52">
        <w:rPr>
          <w:rFonts w:ascii="Calibri" w:hAnsi="Calibri" w:cs="Calibri"/>
          <w:sz w:val="22"/>
          <w:szCs w:val="22"/>
          <w:lang w:val="es-AR"/>
        </w:rPr>
        <w:t>zas”</w:t>
      </w:r>
      <w:r w:rsidRPr="00A63F52">
        <w:rPr>
          <w:rFonts w:ascii="Calibri" w:hAnsi="Calibri" w:cs="Calibri"/>
          <w:sz w:val="22"/>
          <w:szCs w:val="22"/>
          <w:lang w:val="es-AR"/>
        </w:rPr>
        <w:t xml:space="preserve"> de 2022.</w:t>
      </w:r>
    </w:p>
    <w:p w14:paraId="724549F0" w14:textId="6732629D" w:rsidR="003E5428" w:rsidRPr="00A63F52" w:rsidRDefault="003E5428" w:rsidP="00ED3ED1">
      <w:pPr>
        <w:jc w:val="both"/>
        <w:rPr>
          <w:rFonts w:ascii="Calibri" w:hAnsi="Calibri" w:cs="Calibri"/>
          <w:sz w:val="22"/>
          <w:szCs w:val="22"/>
          <w:lang w:val="es-AR"/>
        </w:rPr>
      </w:pPr>
    </w:p>
    <w:p w14:paraId="3ED38B35" w14:textId="77777777"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Otros criterios que podemos anotar:</w:t>
      </w:r>
    </w:p>
    <w:p w14:paraId="3D54F974" w14:textId="7EEBDD1E"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 Las operaciones de intercambio sin contrapartida de activos digitales se benefician de un aplazamiento fiscal. Los contribuyentes están exentos de tributación cuando la suma de los precios de las transmisiones,</w:t>
      </w:r>
      <w:r w:rsidR="005B5D7C" w:rsidRPr="00A63F52">
        <w:rPr>
          <w:rFonts w:ascii="Calibri" w:hAnsi="Calibri" w:cs="Calibri"/>
          <w:sz w:val="22"/>
          <w:szCs w:val="22"/>
          <w:lang w:val="es-AR"/>
        </w:rPr>
        <w:t xml:space="preserve"> (</w:t>
      </w:r>
      <w:r w:rsidRPr="00A63F52">
        <w:rPr>
          <w:rFonts w:ascii="Calibri" w:hAnsi="Calibri" w:cs="Calibri"/>
          <w:sz w:val="22"/>
          <w:szCs w:val="22"/>
          <w:lang w:val="es-AR"/>
        </w:rPr>
        <w:t>excluyendo las operaciones de intercambio con diferimiento de impuestos</w:t>
      </w:r>
      <w:r w:rsidR="005B5D7C" w:rsidRPr="00A63F52">
        <w:rPr>
          <w:rFonts w:ascii="Calibri" w:hAnsi="Calibri" w:cs="Calibri"/>
          <w:sz w:val="22"/>
          <w:szCs w:val="22"/>
          <w:lang w:val="es-AR"/>
        </w:rPr>
        <w:t>)</w:t>
      </w:r>
      <w:r w:rsidRPr="00A63F52">
        <w:rPr>
          <w:rFonts w:ascii="Calibri" w:hAnsi="Calibri" w:cs="Calibri"/>
          <w:sz w:val="22"/>
          <w:szCs w:val="22"/>
          <w:lang w:val="es-AR"/>
        </w:rPr>
        <w:t xml:space="preserve">, no supera los 305 euros durante el ejercicio fiscal.  </w:t>
      </w:r>
    </w:p>
    <w:p w14:paraId="7FF2AAC2" w14:textId="77777777" w:rsidR="003E5428" w:rsidRPr="00A63F52" w:rsidRDefault="003E5428" w:rsidP="00ED3ED1">
      <w:pPr>
        <w:jc w:val="both"/>
        <w:rPr>
          <w:rFonts w:ascii="Calibri" w:hAnsi="Calibri" w:cs="Calibri"/>
          <w:sz w:val="22"/>
          <w:szCs w:val="22"/>
          <w:lang w:val="es-AR"/>
        </w:rPr>
      </w:pPr>
      <w:r w:rsidRPr="00A63F52">
        <w:rPr>
          <w:rFonts w:ascii="Calibri" w:hAnsi="Calibri" w:cs="Calibri"/>
          <w:sz w:val="22"/>
          <w:szCs w:val="22"/>
          <w:lang w:val="es-AR"/>
        </w:rPr>
        <w:t xml:space="preserve">- El valor global de la cartera corresponde al valor global de todos los activos digitales relacionados con ella que poseen los distintos miembros del hogar fiscal, independientemente de la forma en que los tengan. </w:t>
      </w:r>
    </w:p>
    <w:p w14:paraId="7BF4BFE2" w14:textId="10D8E8E1" w:rsidR="00063543" w:rsidRPr="00A63F52" w:rsidRDefault="00063543" w:rsidP="00ED3ED1">
      <w:pPr>
        <w:jc w:val="both"/>
        <w:rPr>
          <w:rFonts w:ascii="Calibri" w:hAnsi="Calibri" w:cs="Calibri"/>
          <w:sz w:val="22"/>
          <w:szCs w:val="22"/>
          <w:lang w:val="es-AR"/>
        </w:rPr>
      </w:pPr>
      <w:r w:rsidRPr="00A63F52">
        <w:rPr>
          <w:rFonts w:ascii="Calibri" w:hAnsi="Calibri" w:cs="Calibri"/>
          <w:sz w:val="22"/>
          <w:szCs w:val="22"/>
          <w:lang w:val="es-AR"/>
        </w:rPr>
        <w:t xml:space="preserve">- Las pérdidas durante un ejercicio fiscal pueden compensarse exclusivamente con las ganancias patrimoniales brutas de la misma </w:t>
      </w:r>
      <w:r w:rsidR="005B5D7C" w:rsidRPr="00A63F52">
        <w:rPr>
          <w:rFonts w:ascii="Calibri" w:hAnsi="Calibri" w:cs="Calibri"/>
          <w:sz w:val="22"/>
          <w:szCs w:val="22"/>
          <w:lang w:val="es-AR"/>
        </w:rPr>
        <w:t>categoría</w:t>
      </w:r>
      <w:r w:rsidRPr="00A63F52">
        <w:rPr>
          <w:rFonts w:ascii="Calibri" w:hAnsi="Calibri" w:cs="Calibri"/>
          <w:sz w:val="22"/>
          <w:szCs w:val="22"/>
          <w:lang w:val="es-AR"/>
        </w:rPr>
        <w:t xml:space="preserve"> obtenidas en ese mismo ejercicio. </w:t>
      </w:r>
    </w:p>
    <w:p w14:paraId="77724B31" w14:textId="77777777" w:rsidR="00063543" w:rsidRPr="00A63F52" w:rsidRDefault="00063543" w:rsidP="00ED3ED1">
      <w:pPr>
        <w:jc w:val="both"/>
        <w:rPr>
          <w:rFonts w:ascii="Calibri" w:hAnsi="Calibri" w:cs="Calibri"/>
          <w:sz w:val="22"/>
          <w:szCs w:val="22"/>
          <w:lang w:val="es-AR"/>
        </w:rPr>
      </w:pPr>
      <w:r w:rsidRPr="00A63F52">
        <w:rPr>
          <w:rFonts w:ascii="Calibri" w:hAnsi="Calibri" w:cs="Calibri"/>
          <w:sz w:val="22"/>
          <w:szCs w:val="22"/>
          <w:lang w:val="es-AR"/>
        </w:rPr>
        <w:t xml:space="preserve">Este sistema será aplicable a las operaciones realizadas en 2022 y que tributan en el momento de la declaración de la renta de 2023. </w:t>
      </w:r>
    </w:p>
    <w:p w14:paraId="76BB8E02" w14:textId="77777777" w:rsidR="00063543" w:rsidRPr="00A63F52" w:rsidRDefault="00063543" w:rsidP="00ED3ED1">
      <w:pPr>
        <w:jc w:val="both"/>
        <w:rPr>
          <w:rFonts w:ascii="Calibri" w:hAnsi="Calibri" w:cs="Calibri"/>
          <w:sz w:val="22"/>
          <w:szCs w:val="22"/>
          <w:lang w:val="es-AR"/>
        </w:rPr>
      </w:pPr>
    </w:p>
    <w:p w14:paraId="1443E2A2" w14:textId="30738B70" w:rsidR="00063543" w:rsidRPr="00A63F52" w:rsidRDefault="00063543" w:rsidP="00ED3ED1">
      <w:pPr>
        <w:jc w:val="both"/>
        <w:rPr>
          <w:rFonts w:ascii="Calibri" w:hAnsi="Calibri" w:cs="Calibri"/>
          <w:sz w:val="22"/>
          <w:szCs w:val="22"/>
          <w:lang w:val="es-AR"/>
        </w:rPr>
      </w:pPr>
      <w:r w:rsidRPr="00A63F52">
        <w:rPr>
          <w:rFonts w:ascii="Calibri" w:hAnsi="Calibri" w:cs="Calibri"/>
          <w:sz w:val="22"/>
          <w:szCs w:val="22"/>
          <w:lang w:val="es-AR"/>
        </w:rPr>
        <w:lastRenderedPageBreak/>
        <w:t xml:space="preserve">En su informe de junio de 2022, el diputado Pierre Person propone "introducir la posibilidad de que el contribuyente difiera las pérdidas de capital en la enajenación de activos digitales a las ganancias de capital de misma </w:t>
      </w:r>
      <w:r w:rsidR="00D200CC" w:rsidRPr="00A63F52">
        <w:rPr>
          <w:rFonts w:ascii="Calibri" w:hAnsi="Calibri" w:cs="Calibri"/>
          <w:sz w:val="22"/>
          <w:szCs w:val="22"/>
          <w:lang w:val="es-AR"/>
        </w:rPr>
        <w:t>categoría</w:t>
      </w:r>
      <w:r w:rsidRPr="00A63F52">
        <w:rPr>
          <w:rFonts w:ascii="Calibri" w:hAnsi="Calibri" w:cs="Calibri"/>
          <w:sz w:val="22"/>
          <w:szCs w:val="22"/>
          <w:lang w:val="es-AR"/>
        </w:rPr>
        <w:t xml:space="preserve"> hasta 3 años después de su reconocimiento"</w:t>
      </w:r>
      <w:r w:rsidR="002C5650" w:rsidRPr="00A63F52">
        <w:rPr>
          <w:rStyle w:val="Appelnotedebasdep"/>
          <w:rFonts w:ascii="Calibri" w:hAnsi="Calibri" w:cs="Calibri"/>
          <w:sz w:val="22"/>
          <w:szCs w:val="22"/>
          <w:lang w:val="es-AR"/>
        </w:rPr>
        <w:footnoteReference w:id="7"/>
      </w:r>
      <w:r w:rsidRPr="00A63F52">
        <w:rPr>
          <w:rFonts w:ascii="Calibri" w:hAnsi="Calibri" w:cs="Calibri"/>
          <w:sz w:val="22"/>
          <w:szCs w:val="22"/>
          <w:lang w:val="es-AR"/>
        </w:rPr>
        <w:t xml:space="preserve">.  </w:t>
      </w:r>
    </w:p>
    <w:p w14:paraId="12FE0691" w14:textId="0BA79F16" w:rsidR="003E5428" w:rsidRPr="00A63F52" w:rsidRDefault="00063543" w:rsidP="00ED3ED1">
      <w:pPr>
        <w:jc w:val="both"/>
        <w:rPr>
          <w:rFonts w:ascii="Calibri" w:hAnsi="Calibri" w:cs="Calibri"/>
          <w:sz w:val="22"/>
          <w:szCs w:val="22"/>
          <w:lang w:val="es-AR"/>
        </w:rPr>
      </w:pPr>
      <w:r w:rsidRPr="00A63F52">
        <w:rPr>
          <w:rFonts w:ascii="Calibri" w:hAnsi="Calibri" w:cs="Calibri"/>
          <w:sz w:val="22"/>
          <w:szCs w:val="22"/>
          <w:lang w:val="es-AR"/>
        </w:rPr>
        <w:t>Tal vez esta propuesta se incluya en el proyecto de ley de finanzas de 2023. Todavía es demasiado pronto para saberlo.</w:t>
      </w:r>
    </w:p>
    <w:p w14:paraId="388ED3C7" w14:textId="5A5F4964" w:rsidR="00063543" w:rsidRPr="00A63F52" w:rsidRDefault="00063543" w:rsidP="00ED3ED1">
      <w:pPr>
        <w:jc w:val="both"/>
        <w:rPr>
          <w:rFonts w:ascii="Calibri" w:hAnsi="Calibri" w:cs="Calibri"/>
          <w:sz w:val="22"/>
          <w:szCs w:val="22"/>
          <w:lang w:val="es-AR"/>
        </w:rPr>
      </w:pPr>
    </w:p>
    <w:p w14:paraId="148F61D7" w14:textId="7AE94916" w:rsidR="00063543" w:rsidRPr="00F16C86" w:rsidRDefault="00063543" w:rsidP="00F16C86">
      <w:pPr>
        <w:pStyle w:val="Titre3"/>
        <w:numPr>
          <w:ilvl w:val="0"/>
          <w:numId w:val="16"/>
        </w:numPr>
        <w:rPr>
          <w:rFonts w:ascii="Calibri" w:hAnsi="Calibri" w:cs="Calibri"/>
          <w:color w:val="auto"/>
          <w:sz w:val="22"/>
          <w:szCs w:val="22"/>
        </w:rPr>
      </w:pPr>
      <w:bookmarkStart w:id="16" w:name="_Toc111047590"/>
      <w:bookmarkStart w:id="17" w:name="_Toc115689854"/>
      <w:r w:rsidRPr="00F16C86">
        <w:rPr>
          <w:rFonts w:ascii="Calibri" w:hAnsi="Calibri" w:cs="Calibri"/>
          <w:color w:val="auto"/>
          <w:sz w:val="22"/>
          <w:szCs w:val="22"/>
        </w:rPr>
        <w:t>Fiscalidad de la empresa</w:t>
      </w:r>
      <w:bookmarkEnd w:id="16"/>
      <w:bookmarkEnd w:id="17"/>
    </w:p>
    <w:p w14:paraId="62A5BE89" w14:textId="0B8B7D31" w:rsidR="002C5650" w:rsidRPr="00A63F52" w:rsidRDefault="002C5650" w:rsidP="00ED3ED1">
      <w:pPr>
        <w:jc w:val="both"/>
        <w:rPr>
          <w:rFonts w:ascii="Calibri" w:hAnsi="Calibri" w:cs="Calibri"/>
          <w:sz w:val="22"/>
          <w:szCs w:val="22"/>
          <w:lang w:val="es-AR"/>
        </w:rPr>
      </w:pPr>
    </w:p>
    <w:p w14:paraId="6AF54D51" w14:textId="77777777" w:rsidR="002C5650" w:rsidRPr="00A63F52" w:rsidRDefault="002C5650" w:rsidP="00ED3ED1">
      <w:pPr>
        <w:jc w:val="both"/>
        <w:rPr>
          <w:rFonts w:ascii="Calibri" w:hAnsi="Calibri" w:cs="Calibri"/>
          <w:sz w:val="22"/>
          <w:szCs w:val="22"/>
          <w:lang w:val="es-AR"/>
        </w:rPr>
      </w:pPr>
      <w:r w:rsidRPr="00A63F52">
        <w:rPr>
          <w:rFonts w:ascii="Calibri" w:hAnsi="Calibri" w:cs="Calibri"/>
          <w:sz w:val="22"/>
          <w:szCs w:val="22"/>
          <w:lang w:val="es-AR"/>
        </w:rPr>
        <w:t xml:space="preserve">La fiscalidad de las empresas es compleja. </w:t>
      </w:r>
    </w:p>
    <w:p w14:paraId="5FA40626" w14:textId="77777777" w:rsidR="002C5650" w:rsidRPr="00A63F52" w:rsidRDefault="002C5650" w:rsidP="00ED3ED1">
      <w:pPr>
        <w:jc w:val="both"/>
        <w:rPr>
          <w:rFonts w:ascii="Calibri" w:hAnsi="Calibri" w:cs="Calibri"/>
          <w:sz w:val="22"/>
          <w:szCs w:val="22"/>
          <w:lang w:val="es-AR"/>
        </w:rPr>
      </w:pPr>
      <w:r w:rsidRPr="00A63F52">
        <w:rPr>
          <w:rFonts w:ascii="Calibri" w:hAnsi="Calibri" w:cs="Calibri"/>
          <w:sz w:val="22"/>
          <w:szCs w:val="22"/>
          <w:lang w:val="es-AR"/>
        </w:rPr>
        <w:t xml:space="preserve">La principal dificultad, tanto para los particulares como para las empresas, es la de "reinyectar" las plusvalías en la economía real sin ser penalizados fiscalmente. </w:t>
      </w:r>
    </w:p>
    <w:p w14:paraId="784462A4" w14:textId="249E47CA" w:rsidR="002C5650" w:rsidRPr="00A63F52" w:rsidRDefault="002C5650" w:rsidP="00ED3ED1">
      <w:pPr>
        <w:jc w:val="both"/>
        <w:rPr>
          <w:rFonts w:ascii="Calibri" w:hAnsi="Calibri" w:cs="Calibri"/>
          <w:sz w:val="22"/>
          <w:szCs w:val="22"/>
          <w:lang w:val="es-AR"/>
        </w:rPr>
      </w:pPr>
      <w:r w:rsidRPr="00A63F52">
        <w:rPr>
          <w:rFonts w:ascii="Calibri" w:hAnsi="Calibri" w:cs="Calibri"/>
          <w:sz w:val="22"/>
          <w:szCs w:val="22"/>
          <w:lang w:val="es-AR"/>
        </w:rPr>
        <w:t>Como se indica en el informe</w:t>
      </w:r>
      <w:r w:rsidRPr="00A63F52">
        <w:rPr>
          <w:rStyle w:val="Appelnotedebasdep"/>
          <w:rFonts w:ascii="Calibri" w:hAnsi="Calibri" w:cs="Calibri"/>
          <w:sz w:val="22"/>
          <w:szCs w:val="22"/>
          <w:lang w:val="es-AR"/>
        </w:rPr>
        <w:footnoteReference w:id="8"/>
      </w:r>
      <w:r w:rsidRPr="00A63F52">
        <w:rPr>
          <w:rFonts w:ascii="Calibri" w:hAnsi="Calibri" w:cs="Calibri"/>
          <w:sz w:val="22"/>
          <w:szCs w:val="22"/>
          <w:lang w:val="es-AR"/>
        </w:rPr>
        <w:t>, "quien desee invertir en la economía real aportando sus cripto</w:t>
      </w:r>
      <w:r w:rsidR="006C312C" w:rsidRPr="00A63F52">
        <w:rPr>
          <w:rFonts w:ascii="Calibri" w:hAnsi="Calibri" w:cs="Calibri"/>
          <w:sz w:val="22"/>
          <w:szCs w:val="22"/>
          <w:lang w:val="es-AR"/>
        </w:rPr>
        <w:t>-</w:t>
      </w:r>
      <w:r w:rsidRPr="00A63F52">
        <w:rPr>
          <w:rFonts w:ascii="Calibri" w:hAnsi="Calibri" w:cs="Calibri"/>
          <w:sz w:val="22"/>
          <w:szCs w:val="22"/>
          <w:lang w:val="es-AR"/>
        </w:rPr>
        <w:t>activos a una empresa se ve obligado a pagar</w:t>
      </w:r>
      <w:r w:rsidR="00F379AE" w:rsidRPr="00A63F52">
        <w:rPr>
          <w:rFonts w:ascii="Calibri" w:hAnsi="Calibri" w:cs="Calibri"/>
          <w:sz w:val="22"/>
          <w:szCs w:val="22"/>
          <w:lang w:val="es-AR"/>
        </w:rPr>
        <w:t xml:space="preserve"> </w:t>
      </w:r>
      <w:r w:rsidRPr="00A63F52">
        <w:rPr>
          <w:rFonts w:ascii="Calibri" w:hAnsi="Calibri" w:cs="Calibri"/>
          <w:sz w:val="22"/>
          <w:szCs w:val="22"/>
          <w:lang w:val="es-AR"/>
        </w:rPr>
        <w:t xml:space="preserve">impuesto sobre la </w:t>
      </w:r>
      <w:r w:rsidR="00F379AE" w:rsidRPr="00A63F52">
        <w:rPr>
          <w:rFonts w:ascii="Calibri" w:hAnsi="Calibri" w:cs="Calibri"/>
          <w:sz w:val="22"/>
          <w:szCs w:val="22"/>
          <w:lang w:val="es-AR"/>
        </w:rPr>
        <w:t>plusvalía,</w:t>
      </w:r>
      <w:r w:rsidRPr="00A63F52">
        <w:rPr>
          <w:rFonts w:ascii="Calibri" w:hAnsi="Calibri" w:cs="Calibri"/>
          <w:sz w:val="22"/>
          <w:szCs w:val="22"/>
          <w:lang w:val="es-AR"/>
        </w:rPr>
        <w:t xml:space="preserve"> aunque reciban valores a cambio de su aportación, y no un pago monetario</w:t>
      </w:r>
      <w:r w:rsidR="006C312C" w:rsidRPr="00A63F52">
        <w:rPr>
          <w:rFonts w:ascii="Calibri" w:hAnsi="Calibri" w:cs="Calibri"/>
          <w:sz w:val="22"/>
          <w:szCs w:val="22"/>
          <w:lang w:val="es-AR"/>
        </w:rPr>
        <w:t>”</w:t>
      </w:r>
      <w:r w:rsidRPr="00A63F52">
        <w:rPr>
          <w:rFonts w:ascii="Calibri" w:hAnsi="Calibri" w:cs="Calibri"/>
          <w:sz w:val="22"/>
          <w:szCs w:val="22"/>
          <w:lang w:val="es-AR"/>
        </w:rPr>
        <w:t xml:space="preserve">. </w:t>
      </w:r>
    </w:p>
    <w:p w14:paraId="204C3018" w14:textId="2ACB18F9" w:rsidR="00F379AE" w:rsidRPr="00A63F52" w:rsidRDefault="002C5650" w:rsidP="00ED3ED1">
      <w:pPr>
        <w:jc w:val="both"/>
        <w:rPr>
          <w:rFonts w:ascii="Calibri" w:hAnsi="Calibri" w:cs="Calibri"/>
          <w:sz w:val="22"/>
          <w:szCs w:val="22"/>
          <w:lang w:val="es-AR"/>
        </w:rPr>
      </w:pPr>
      <w:r w:rsidRPr="00A63F52">
        <w:rPr>
          <w:rFonts w:ascii="Calibri" w:hAnsi="Calibri" w:cs="Calibri"/>
          <w:sz w:val="22"/>
          <w:szCs w:val="22"/>
          <w:lang w:val="es-AR"/>
        </w:rPr>
        <w:t>Y añade: "La transposición del régimen de</w:t>
      </w:r>
      <w:r w:rsidR="006C312C" w:rsidRPr="00A63F52">
        <w:rPr>
          <w:rFonts w:ascii="Calibri" w:hAnsi="Calibri" w:cs="Calibri"/>
          <w:sz w:val="22"/>
          <w:szCs w:val="22"/>
          <w:lang w:val="es-AR"/>
        </w:rPr>
        <w:t xml:space="preserve"> “Apport-Cession”</w:t>
      </w:r>
      <w:r w:rsidR="006C312C" w:rsidRPr="00A63F52">
        <w:rPr>
          <w:rStyle w:val="Appelnotedebasdep"/>
          <w:rFonts w:ascii="Calibri" w:hAnsi="Calibri" w:cs="Calibri"/>
          <w:sz w:val="22"/>
          <w:szCs w:val="22"/>
          <w:lang w:val="es-AR"/>
        </w:rPr>
        <w:footnoteReference w:id="9"/>
      </w:r>
      <w:r w:rsidRPr="00A63F52">
        <w:rPr>
          <w:rFonts w:ascii="Calibri" w:hAnsi="Calibri" w:cs="Calibri"/>
          <w:sz w:val="22"/>
          <w:szCs w:val="22"/>
          <w:lang w:val="es-AR"/>
        </w:rPr>
        <w:t xml:space="preserve"> eliminaría estos obstáculos al</w:t>
      </w:r>
      <w:r w:rsidR="00F379AE" w:rsidRPr="00A63F52">
        <w:rPr>
          <w:rFonts w:ascii="Calibri" w:hAnsi="Calibri" w:cs="Calibri"/>
          <w:sz w:val="22"/>
          <w:szCs w:val="22"/>
          <w:lang w:val="es-AR"/>
        </w:rPr>
        <w:t xml:space="preserve"> </w:t>
      </w:r>
      <w:r w:rsidRPr="00A63F52">
        <w:rPr>
          <w:rFonts w:ascii="Calibri" w:hAnsi="Calibri" w:cs="Calibri"/>
          <w:sz w:val="22"/>
          <w:szCs w:val="22"/>
          <w:lang w:val="es-AR"/>
        </w:rPr>
        <w:t>que prevé la imposición diferida en el momento de la venta de los títulos recibidos en</w:t>
      </w:r>
      <w:r w:rsidR="00F379AE" w:rsidRPr="00A63F52">
        <w:rPr>
          <w:rFonts w:ascii="Calibri" w:hAnsi="Calibri" w:cs="Calibri"/>
          <w:sz w:val="22"/>
          <w:szCs w:val="22"/>
          <w:lang w:val="es-AR"/>
        </w:rPr>
        <w:t xml:space="preserve"> </w:t>
      </w:r>
      <w:r w:rsidRPr="00A63F52">
        <w:rPr>
          <w:rFonts w:ascii="Calibri" w:hAnsi="Calibri" w:cs="Calibri"/>
          <w:sz w:val="22"/>
          <w:szCs w:val="22"/>
          <w:lang w:val="es-AR"/>
        </w:rPr>
        <w:t>a cambio de la aportación de cripto</w:t>
      </w:r>
      <w:r w:rsidR="00674D43" w:rsidRPr="00A63F52">
        <w:rPr>
          <w:rFonts w:ascii="Calibri" w:hAnsi="Calibri" w:cs="Calibri"/>
          <w:sz w:val="22"/>
          <w:szCs w:val="22"/>
          <w:lang w:val="es-AR"/>
        </w:rPr>
        <w:t>-</w:t>
      </w:r>
      <w:r w:rsidRPr="00A63F52">
        <w:rPr>
          <w:rFonts w:ascii="Calibri" w:hAnsi="Calibri" w:cs="Calibri"/>
          <w:sz w:val="22"/>
          <w:szCs w:val="22"/>
          <w:lang w:val="es-AR"/>
        </w:rPr>
        <w:t xml:space="preserve">activos". </w:t>
      </w:r>
    </w:p>
    <w:p w14:paraId="0CD408B3" w14:textId="5BB9C817" w:rsidR="00F379AE" w:rsidRPr="00A63F52" w:rsidRDefault="002C5650" w:rsidP="00ED3ED1">
      <w:pPr>
        <w:jc w:val="both"/>
        <w:rPr>
          <w:rFonts w:ascii="Calibri" w:hAnsi="Calibri" w:cs="Calibri"/>
          <w:sz w:val="22"/>
          <w:szCs w:val="22"/>
          <w:lang w:val="es-AR"/>
        </w:rPr>
      </w:pPr>
      <w:r w:rsidRPr="00A63F52">
        <w:rPr>
          <w:rFonts w:ascii="Calibri" w:hAnsi="Calibri" w:cs="Calibri"/>
          <w:sz w:val="22"/>
          <w:szCs w:val="22"/>
          <w:lang w:val="es-AR"/>
        </w:rPr>
        <w:t xml:space="preserve">Así, propone introducir un régimen favorable similar al régimen de la </w:t>
      </w:r>
      <w:r w:rsidR="00CD1095" w:rsidRPr="00A63F52">
        <w:rPr>
          <w:rFonts w:ascii="Calibri" w:hAnsi="Calibri" w:cs="Calibri"/>
          <w:sz w:val="22"/>
          <w:szCs w:val="22"/>
          <w:lang w:val="es-AR"/>
        </w:rPr>
        <w:t>“apport-cession”</w:t>
      </w:r>
      <w:r w:rsidRPr="00A63F52">
        <w:rPr>
          <w:rFonts w:ascii="Calibri" w:hAnsi="Calibri" w:cs="Calibri"/>
          <w:sz w:val="22"/>
          <w:szCs w:val="22"/>
          <w:lang w:val="es-AR"/>
        </w:rPr>
        <w:t xml:space="preserve"> equivalente al de los valores financieros. </w:t>
      </w:r>
    </w:p>
    <w:p w14:paraId="4B9BD581" w14:textId="49ADC77E" w:rsidR="002C5650" w:rsidRPr="00A63F52" w:rsidRDefault="002C5650" w:rsidP="00ED3ED1">
      <w:pPr>
        <w:jc w:val="both"/>
        <w:rPr>
          <w:rFonts w:ascii="Calibri" w:hAnsi="Calibri" w:cs="Calibri"/>
          <w:sz w:val="22"/>
          <w:szCs w:val="22"/>
          <w:lang w:val="es-AR"/>
        </w:rPr>
      </w:pPr>
      <w:r w:rsidRPr="00A63F52">
        <w:rPr>
          <w:rFonts w:ascii="Calibri" w:hAnsi="Calibri" w:cs="Calibri"/>
          <w:sz w:val="22"/>
          <w:szCs w:val="22"/>
          <w:lang w:val="es-AR"/>
        </w:rPr>
        <w:t>Otro elemento importante es la fiscalidad aplicada a los intercambios de cripto</w:t>
      </w:r>
      <w:r w:rsidR="00674D43" w:rsidRPr="00A63F52">
        <w:rPr>
          <w:rFonts w:ascii="Calibri" w:hAnsi="Calibri" w:cs="Calibri"/>
          <w:sz w:val="22"/>
          <w:szCs w:val="22"/>
          <w:lang w:val="es-AR"/>
        </w:rPr>
        <w:t>-</w:t>
      </w:r>
      <w:r w:rsidRPr="00A63F52">
        <w:rPr>
          <w:rFonts w:ascii="Calibri" w:hAnsi="Calibri" w:cs="Calibri"/>
          <w:sz w:val="22"/>
          <w:szCs w:val="22"/>
          <w:lang w:val="es-AR"/>
        </w:rPr>
        <w:t xml:space="preserve">activos entre profesionales. Estos intercambios se han hecho frecuentes, bien para utilizar aplicaciones financieras descentralizadas, bien para utilizar un derecho vinculado a un token o para proporcionar liquidez en el mercado. Estos intercambios generan impuestos. </w:t>
      </w:r>
    </w:p>
    <w:p w14:paraId="76D96B1D" w14:textId="31F2C64A" w:rsidR="00200C34" w:rsidRPr="00A63F52" w:rsidRDefault="002C5650" w:rsidP="00ED3ED1">
      <w:pPr>
        <w:jc w:val="both"/>
        <w:rPr>
          <w:rFonts w:ascii="Calibri" w:hAnsi="Calibri" w:cs="Calibri"/>
          <w:sz w:val="22"/>
          <w:szCs w:val="22"/>
          <w:lang w:val="es-AR"/>
        </w:rPr>
      </w:pPr>
      <w:r w:rsidRPr="00A63F52">
        <w:rPr>
          <w:rFonts w:ascii="Calibri" w:hAnsi="Calibri" w:cs="Calibri"/>
          <w:sz w:val="22"/>
          <w:szCs w:val="22"/>
          <w:lang w:val="es-AR"/>
        </w:rPr>
        <w:t xml:space="preserve">Las empresas tienen que calcular sus ganancias o pérdidas patrimoniales entre cada operación de intercambio de criptomonedas, lo que plantea dos dificultades: la volatilidad y la liquidez, ya que el impuesto debe pagarse en </w:t>
      </w:r>
      <w:r w:rsidR="00674D43" w:rsidRPr="00A63F52">
        <w:rPr>
          <w:rFonts w:ascii="Calibri" w:hAnsi="Calibri" w:cs="Calibri"/>
          <w:sz w:val="22"/>
          <w:szCs w:val="22"/>
          <w:lang w:val="es-AR"/>
        </w:rPr>
        <w:t>euros,</w:t>
      </w:r>
      <w:r w:rsidRPr="00A63F52">
        <w:rPr>
          <w:rFonts w:ascii="Calibri" w:hAnsi="Calibri" w:cs="Calibri"/>
          <w:sz w:val="22"/>
          <w:szCs w:val="22"/>
          <w:lang w:val="es-AR"/>
        </w:rPr>
        <w:t xml:space="preserve"> aunque la empresa no haya recibido ningún ingreso en euros por el intercambio.</w:t>
      </w:r>
    </w:p>
    <w:p w14:paraId="01463332" w14:textId="77777777" w:rsidR="00200C34" w:rsidRPr="00A63F52" w:rsidRDefault="00200C34" w:rsidP="00ED3ED1">
      <w:pPr>
        <w:jc w:val="both"/>
        <w:rPr>
          <w:rFonts w:ascii="Calibri" w:hAnsi="Calibri" w:cs="Calibri"/>
          <w:sz w:val="22"/>
          <w:szCs w:val="22"/>
          <w:lang w:val="es-AR"/>
        </w:rPr>
      </w:pPr>
      <w:r w:rsidRPr="00A63F52">
        <w:rPr>
          <w:rFonts w:ascii="Calibri" w:hAnsi="Calibri" w:cs="Calibri"/>
          <w:sz w:val="22"/>
          <w:szCs w:val="22"/>
          <w:lang w:val="es-AR"/>
        </w:rPr>
        <w:t xml:space="preserve">Las empresas señalan una cierta complejidad y la necesidad de utilizar herramientas para controlar estos flujos. Esta fiscalidad bloquea la liquidez de las empresas, que no pueden reinvertirla en su organización. </w:t>
      </w:r>
    </w:p>
    <w:p w14:paraId="5B53A1CB" w14:textId="588033F1" w:rsidR="00200C34" w:rsidRPr="00A63F52" w:rsidRDefault="00200C34" w:rsidP="00ED3ED1">
      <w:pPr>
        <w:jc w:val="both"/>
        <w:rPr>
          <w:rFonts w:ascii="Calibri" w:hAnsi="Calibri" w:cs="Calibri"/>
          <w:sz w:val="22"/>
          <w:szCs w:val="22"/>
          <w:lang w:val="es-AR"/>
        </w:rPr>
      </w:pPr>
      <w:r w:rsidRPr="00A63F52">
        <w:rPr>
          <w:rFonts w:ascii="Calibri" w:hAnsi="Calibri" w:cs="Calibri"/>
          <w:sz w:val="22"/>
          <w:szCs w:val="22"/>
          <w:lang w:val="es-AR"/>
        </w:rPr>
        <w:t xml:space="preserve"> La última propuesta mencionada: "Introducir un aplazamiento de la tributación, limitado a tres años después de la operación sujeta a tributación, para los intercambios de activos digitales realizados por empresas y profesionales.</w:t>
      </w:r>
    </w:p>
    <w:p w14:paraId="3272D7CA" w14:textId="77777777" w:rsidR="00200C34" w:rsidRPr="00A63F52" w:rsidRDefault="00200C34" w:rsidP="00ED3ED1">
      <w:pPr>
        <w:jc w:val="both"/>
        <w:rPr>
          <w:rFonts w:ascii="Calibri" w:hAnsi="Calibri" w:cs="Calibri"/>
          <w:sz w:val="22"/>
          <w:szCs w:val="22"/>
          <w:lang w:val="es-AR"/>
        </w:rPr>
      </w:pPr>
      <w:r w:rsidRPr="00A63F52">
        <w:rPr>
          <w:rFonts w:ascii="Calibri" w:hAnsi="Calibri" w:cs="Calibri"/>
          <w:sz w:val="22"/>
          <w:szCs w:val="22"/>
          <w:lang w:val="es-AR"/>
        </w:rPr>
        <w:t xml:space="preserve">Así, se han hecho varias propuestas para mejorar la fiscalidad de las personas y las empresas. Queda por ver si las propuestas de estos dos informes se siguen en la próxima ley de finanzas. </w:t>
      </w:r>
    </w:p>
    <w:p w14:paraId="2CF242B7" w14:textId="2F5921B5" w:rsidR="00200C34" w:rsidRPr="00A63F52" w:rsidRDefault="00200C34" w:rsidP="00ED3ED1">
      <w:pPr>
        <w:jc w:val="both"/>
        <w:rPr>
          <w:rFonts w:ascii="Calibri" w:hAnsi="Calibri" w:cs="Calibri"/>
          <w:sz w:val="22"/>
          <w:szCs w:val="22"/>
          <w:lang w:val="es-AR"/>
        </w:rPr>
      </w:pPr>
    </w:p>
    <w:p w14:paraId="096EE1EB" w14:textId="7F7F42AD" w:rsidR="00200C34" w:rsidRPr="00BD7CD6" w:rsidRDefault="00200C34" w:rsidP="00F16C86">
      <w:pPr>
        <w:pStyle w:val="Titre2"/>
        <w:numPr>
          <w:ilvl w:val="0"/>
          <w:numId w:val="16"/>
        </w:numPr>
        <w:ind w:left="1134" w:hanging="425"/>
        <w:rPr>
          <w:rFonts w:ascii="Calibri" w:hAnsi="Calibri" w:cs="Calibri"/>
          <w:caps/>
          <w:color w:val="auto"/>
          <w:sz w:val="22"/>
          <w:szCs w:val="22"/>
          <w:lang w:val="es-AR"/>
        </w:rPr>
      </w:pPr>
      <w:bookmarkStart w:id="18" w:name="_Toc111047591"/>
      <w:bookmarkStart w:id="19" w:name="_Toc115689855"/>
      <w:r w:rsidRPr="00BD7CD6">
        <w:rPr>
          <w:rFonts w:ascii="Calibri" w:hAnsi="Calibri" w:cs="Calibri"/>
          <w:caps/>
          <w:color w:val="auto"/>
          <w:sz w:val="22"/>
          <w:szCs w:val="22"/>
          <w:lang w:val="es-AR"/>
        </w:rPr>
        <w:t>¿Cuáles son las principales dificultades que encuentran los profesionales del sector?</w:t>
      </w:r>
      <w:bookmarkEnd w:id="18"/>
      <w:bookmarkEnd w:id="19"/>
    </w:p>
    <w:p w14:paraId="297E8098" w14:textId="7424591B" w:rsidR="00200C34" w:rsidRPr="00A63F52" w:rsidRDefault="00200C34" w:rsidP="00ED3ED1">
      <w:pPr>
        <w:jc w:val="both"/>
        <w:rPr>
          <w:rFonts w:ascii="Calibri" w:hAnsi="Calibri" w:cs="Calibri"/>
          <w:sz w:val="22"/>
          <w:szCs w:val="22"/>
          <w:lang w:val="es-AR"/>
        </w:rPr>
      </w:pPr>
    </w:p>
    <w:p w14:paraId="248EAA14" w14:textId="0CC6D0A8" w:rsidR="00191056" w:rsidRPr="00A63F52" w:rsidRDefault="00191056" w:rsidP="00ED3ED1">
      <w:pPr>
        <w:jc w:val="both"/>
        <w:rPr>
          <w:rFonts w:ascii="Calibri" w:hAnsi="Calibri" w:cs="Calibri"/>
          <w:sz w:val="22"/>
          <w:szCs w:val="22"/>
          <w:lang w:val="es-AR"/>
        </w:rPr>
      </w:pPr>
      <w:r w:rsidRPr="00A63F52">
        <w:rPr>
          <w:rFonts w:ascii="Calibri" w:hAnsi="Calibri" w:cs="Calibri"/>
          <w:sz w:val="22"/>
          <w:szCs w:val="22"/>
          <w:lang w:val="es-AR"/>
        </w:rPr>
        <w:t>Entre los profesionales del sector se encuentran los proveedores de servicios de activos digitales</w:t>
      </w:r>
      <w:r w:rsidR="00351739" w:rsidRPr="00A63F52">
        <w:rPr>
          <w:rFonts w:ascii="Calibri" w:hAnsi="Calibri" w:cs="Calibri"/>
          <w:sz w:val="22"/>
          <w:szCs w:val="22"/>
          <w:lang w:val="es-AR"/>
        </w:rPr>
        <w:t xml:space="preserve"> (PSAN)</w:t>
      </w:r>
      <w:r w:rsidRPr="00A63F52">
        <w:rPr>
          <w:rFonts w:ascii="Calibri" w:hAnsi="Calibri" w:cs="Calibri"/>
          <w:sz w:val="22"/>
          <w:szCs w:val="22"/>
          <w:lang w:val="es-AR"/>
        </w:rPr>
        <w:t>. Estas empresas, para poder operar legalmente en Francia, deben obtener la aprobación de la AMF</w:t>
      </w:r>
      <w:r w:rsidRPr="00A63F52">
        <w:rPr>
          <w:rStyle w:val="Appelnotedebasdep"/>
          <w:rFonts w:ascii="Calibri" w:hAnsi="Calibri" w:cs="Calibri"/>
          <w:sz w:val="22"/>
          <w:szCs w:val="22"/>
          <w:lang w:val="es-AR"/>
        </w:rPr>
        <w:footnoteReference w:id="10"/>
      </w:r>
      <w:r w:rsidRPr="00A63F52">
        <w:rPr>
          <w:rFonts w:ascii="Calibri" w:hAnsi="Calibri" w:cs="Calibri"/>
          <w:sz w:val="22"/>
          <w:szCs w:val="22"/>
          <w:lang w:val="es-AR"/>
        </w:rPr>
        <w:t>.</w:t>
      </w:r>
    </w:p>
    <w:p w14:paraId="317B6236" w14:textId="3868DCE7" w:rsidR="00191056" w:rsidRPr="00A63F52" w:rsidRDefault="00191056" w:rsidP="00ED3ED1">
      <w:pPr>
        <w:jc w:val="both"/>
        <w:rPr>
          <w:rFonts w:ascii="Calibri" w:hAnsi="Calibri" w:cs="Calibri"/>
          <w:sz w:val="22"/>
          <w:szCs w:val="22"/>
          <w:lang w:val="es-AR"/>
        </w:rPr>
      </w:pPr>
      <w:r w:rsidRPr="00A63F52">
        <w:rPr>
          <w:rFonts w:ascii="Calibri" w:hAnsi="Calibri" w:cs="Calibri"/>
          <w:sz w:val="22"/>
          <w:szCs w:val="22"/>
          <w:lang w:val="es-AR"/>
        </w:rPr>
        <w:t>Creado en 2019 por la Loi Pacte. En 2021 había 22 PS</w:t>
      </w:r>
      <w:r w:rsidR="00351739" w:rsidRPr="00A63F52">
        <w:rPr>
          <w:rFonts w:ascii="Calibri" w:hAnsi="Calibri" w:cs="Calibri"/>
          <w:sz w:val="22"/>
          <w:szCs w:val="22"/>
          <w:lang w:val="es-AR"/>
        </w:rPr>
        <w:t>A</w:t>
      </w:r>
      <w:r w:rsidRPr="00A63F52">
        <w:rPr>
          <w:rFonts w:ascii="Calibri" w:hAnsi="Calibri" w:cs="Calibri"/>
          <w:sz w:val="22"/>
          <w:szCs w:val="22"/>
          <w:lang w:val="es-AR"/>
        </w:rPr>
        <w:t xml:space="preserve">N. Un año después, hay </w:t>
      </w:r>
      <w:r w:rsidR="00351739" w:rsidRPr="00A63F52">
        <w:rPr>
          <w:rFonts w:ascii="Calibri" w:hAnsi="Calibri" w:cs="Calibri"/>
          <w:sz w:val="22"/>
          <w:szCs w:val="22"/>
          <w:lang w:val="es-AR"/>
        </w:rPr>
        <w:t>46</w:t>
      </w:r>
      <w:r w:rsidR="006359B2" w:rsidRPr="00A63F52">
        <w:rPr>
          <w:rStyle w:val="Appelnotedebasdep"/>
          <w:rFonts w:ascii="Calibri" w:hAnsi="Calibri" w:cs="Calibri"/>
          <w:sz w:val="22"/>
          <w:szCs w:val="22"/>
        </w:rPr>
        <w:footnoteReference w:id="11"/>
      </w:r>
      <w:r w:rsidRPr="00A63F52">
        <w:rPr>
          <w:rFonts w:ascii="Calibri" w:hAnsi="Calibri" w:cs="Calibri"/>
          <w:sz w:val="22"/>
          <w:szCs w:val="22"/>
          <w:lang w:val="es-AR"/>
        </w:rPr>
        <w:t>. Entre las más conocidas, la empresa BINANCE. Obtuvo su registro para ser</w:t>
      </w:r>
      <w:r w:rsidR="00351739" w:rsidRPr="00A63F52">
        <w:rPr>
          <w:rFonts w:ascii="Calibri" w:hAnsi="Calibri" w:cs="Calibri"/>
          <w:sz w:val="22"/>
          <w:szCs w:val="22"/>
          <w:lang w:val="es-AR"/>
        </w:rPr>
        <w:t xml:space="preserve"> proveedor (</w:t>
      </w:r>
      <w:r w:rsidRPr="00A63F52">
        <w:rPr>
          <w:rFonts w:ascii="Calibri" w:hAnsi="Calibri" w:cs="Calibri"/>
          <w:sz w:val="22"/>
          <w:szCs w:val="22"/>
          <w:lang w:val="es-AR"/>
        </w:rPr>
        <w:t>PSAN</w:t>
      </w:r>
      <w:r w:rsidR="00351739" w:rsidRPr="00A63F52">
        <w:rPr>
          <w:rFonts w:ascii="Calibri" w:hAnsi="Calibri" w:cs="Calibri"/>
          <w:sz w:val="22"/>
          <w:szCs w:val="22"/>
          <w:lang w:val="es-AR"/>
        </w:rPr>
        <w:t>)</w:t>
      </w:r>
      <w:r w:rsidRPr="00A63F52">
        <w:rPr>
          <w:rFonts w:ascii="Calibri" w:hAnsi="Calibri" w:cs="Calibri"/>
          <w:sz w:val="22"/>
          <w:szCs w:val="22"/>
          <w:lang w:val="es-AR"/>
        </w:rPr>
        <w:t xml:space="preserve"> y operar en Francia en mayo de 2022. La empresa </w:t>
      </w:r>
      <w:r w:rsidR="006359B2" w:rsidRPr="00A63F52">
        <w:rPr>
          <w:rFonts w:ascii="Calibri" w:hAnsi="Calibri" w:cs="Calibri"/>
          <w:sz w:val="22"/>
          <w:szCs w:val="22"/>
          <w:lang w:val="es-AR"/>
        </w:rPr>
        <w:t>“</w:t>
      </w:r>
      <w:r w:rsidRPr="00A63F52">
        <w:rPr>
          <w:rFonts w:ascii="Calibri" w:hAnsi="Calibri" w:cs="Calibri"/>
          <w:sz w:val="22"/>
          <w:szCs w:val="22"/>
          <w:lang w:val="es-AR"/>
        </w:rPr>
        <w:t>Lugh Financial Service</w:t>
      </w:r>
      <w:r w:rsidR="006359B2" w:rsidRPr="00A63F52">
        <w:rPr>
          <w:rFonts w:ascii="Calibri" w:hAnsi="Calibri" w:cs="Calibri"/>
          <w:sz w:val="22"/>
          <w:szCs w:val="22"/>
          <w:lang w:val="es-AR"/>
        </w:rPr>
        <w:t>”</w:t>
      </w:r>
      <w:r w:rsidRPr="00A63F52">
        <w:rPr>
          <w:rFonts w:ascii="Calibri" w:hAnsi="Calibri" w:cs="Calibri"/>
          <w:sz w:val="22"/>
          <w:szCs w:val="22"/>
          <w:lang w:val="es-AR"/>
        </w:rPr>
        <w:t xml:space="preserve"> recibió su registro en julio de 2022</w:t>
      </w:r>
      <w:r w:rsidR="006359B2" w:rsidRPr="00A63F52">
        <w:rPr>
          <w:rStyle w:val="Appelnotedebasdep"/>
          <w:rFonts w:ascii="Calibri" w:hAnsi="Calibri" w:cs="Calibri"/>
          <w:sz w:val="22"/>
          <w:szCs w:val="22"/>
        </w:rPr>
        <w:footnoteReference w:id="12"/>
      </w:r>
      <w:r w:rsidRPr="00A63F52">
        <w:rPr>
          <w:rFonts w:ascii="Calibri" w:hAnsi="Calibri" w:cs="Calibri"/>
          <w:sz w:val="22"/>
          <w:szCs w:val="22"/>
          <w:lang w:val="es-AR"/>
        </w:rPr>
        <w:t>.</w:t>
      </w:r>
    </w:p>
    <w:p w14:paraId="1AF96D5A" w14:textId="77777777" w:rsidR="00191056" w:rsidRPr="00A63F52" w:rsidRDefault="00191056" w:rsidP="00ED3ED1">
      <w:pPr>
        <w:jc w:val="both"/>
        <w:rPr>
          <w:rFonts w:ascii="Calibri" w:hAnsi="Calibri" w:cs="Calibri"/>
          <w:sz w:val="22"/>
          <w:szCs w:val="22"/>
          <w:lang w:val="es-AR"/>
        </w:rPr>
      </w:pPr>
    </w:p>
    <w:p w14:paraId="75EBE0B1" w14:textId="784E6643" w:rsidR="00200C34" w:rsidRPr="00A63F52" w:rsidRDefault="007D5D5B" w:rsidP="00F16C86">
      <w:pPr>
        <w:pStyle w:val="Titre3"/>
        <w:numPr>
          <w:ilvl w:val="0"/>
          <w:numId w:val="17"/>
        </w:numPr>
        <w:rPr>
          <w:rFonts w:ascii="Calibri" w:hAnsi="Calibri" w:cs="Calibri"/>
          <w:color w:val="4472C4" w:themeColor="accent1"/>
          <w:sz w:val="22"/>
          <w:szCs w:val="22"/>
          <w:lang w:val="es-AR"/>
        </w:rPr>
      </w:pPr>
      <w:bookmarkStart w:id="20" w:name="_Toc111047592"/>
      <w:bookmarkStart w:id="21" w:name="_Toc115689856"/>
      <w:r w:rsidRPr="00F16C86">
        <w:rPr>
          <w:rFonts w:ascii="Calibri" w:hAnsi="Calibri" w:cs="Calibri"/>
          <w:color w:val="auto"/>
          <w:sz w:val="22"/>
          <w:szCs w:val="22"/>
        </w:rPr>
        <w:t>Procedimiento de registro y acreditación</w:t>
      </w:r>
      <w:bookmarkEnd w:id="20"/>
      <w:bookmarkEnd w:id="21"/>
    </w:p>
    <w:p w14:paraId="138ADC84" w14:textId="1C8EBA65" w:rsidR="00D519D8" w:rsidRPr="00A63F52" w:rsidRDefault="00D519D8" w:rsidP="00ED3ED1">
      <w:pPr>
        <w:jc w:val="both"/>
        <w:rPr>
          <w:rFonts w:ascii="Calibri" w:hAnsi="Calibri" w:cs="Calibri"/>
          <w:sz w:val="22"/>
          <w:szCs w:val="22"/>
          <w:lang w:val="es-AR"/>
        </w:rPr>
      </w:pPr>
    </w:p>
    <w:p w14:paraId="4133EA72" w14:textId="77777777" w:rsidR="00D519D8" w:rsidRPr="00A63F52" w:rsidRDefault="00D519D8" w:rsidP="00ED3ED1">
      <w:pPr>
        <w:jc w:val="both"/>
        <w:rPr>
          <w:rFonts w:ascii="Calibri" w:hAnsi="Calibri" w:cs="Calibri"/>
          <w:sz w:val="22"/>
          <w:szCs w:val="22"/>
          <w:lang w:val="es-AR"/>
        </w:rPr>
      </w:pPr>
      <w:r w:rsidRPr="00A63F52">
        <w:rPr>
          <w:rFonts w:ascii="Calibri" w:hAnsi="Calibri" w:cs="Calibri"/>
          <w:sz w:val="22"/>
          <w:szCs w:val="22"/>
          <w:lang w:val="es-AR"/>
        </w:rPr>
        <w:t xml:space="preserve">Para operar como proveedor de servicios de activos digitales, basta con estar registrado o autorizado por la AMF. La Ley del Pacto creó este régimen para ofrecer un marco serio a los consumidores y permitir la profesionalización y el desarrollo del ecosistema francés. </w:t>
      </w:r>
    </w:p>
    <w:p w14:paraId="7FB5DC45" w14:textId="7FECC7ED" w:rsidR="00D519D8" w:rsidRPr="00A63F52" w:rsidRDefault="00D519D8" w:rsidP="00ED3ED1">
      <w:pPr>
        <w:jc w:val="both"/>
        <w:rPr>
          <w:rFonts w:ascii="Calibri" w:hAnsi="Calibri" w:cs="Calibri"/>
          <w:sz w:val="22"/>
          <w:szCs w:val="22"/>
          <w:lang w:val="es-AR"/>
        </w:rPr>
      </w:pPr>
      <w:r w:rsidRPr="00A63F52">
        <w:rPr>
          <w:rFonts w:ascii="Calibri" w:hAnsi="Calibri" w:cs="Calibri"/>
          <w:sz w:val="22"/>
          <w:szCs w:val="22"/>
          <w:lang w:val="es-AR"/>
        </w:rPr>
        <w:t>La creación de este régimen permitió al legislador definir las diferentes actividades que realizan los PSAN</w:t>
      </w:r>
      <w:r w:rsidRPr="00A63F52">
        <w:rPr>
          <w:rStyle w:val="Appelnotedebasdep"/>
          <w:rFonts w:ascii="Calibri" w:hAnsi="Calibri" w:cs="Calibri"/>
          <w:sz w:val="22"/>
          <w:szCs w:val="22"/>
          <w:lang w:val="es-AR"/>
        </w:rPr>
        <w:footnoteReference w:id="13"/>
      </w:r>
      <w:r w:rsidRPr="00A63F52">
        <w:rPr>
          <w:rFonts w:ascii="Calibri" w:hAnsi="Calibri" w:cs="Calibri"/>
          <w:sz w:val="22"/>
          <w:szCs w:val="22"/>
          <w:lang w:val="es-AR"/>
        </w:rPr>
        <w:t>. Cada proveedor puede solicitar su inscripción en la AMF. Este registro se obtiene tras un procedimiento destinado a verificar "la integridad y competencia de los gestores, así como el cumplimiento de la normativa de lucha contra el blanqueo de capitales y la financiación del terrorismo"</w:t>
      </w:r>
      <w:r w:rsidR="007A540B" w:rsidRPr="00A63F52">
        <w:rPr>
          <w:rStyle w:val="Appelnotedebasdep"/>
          <w:rFonts w:ascii="Calibri" w:hAnsi="Calibri" w:cs="Calibri"/>
          <w:sz w:val="22"/>
          <w:szCs w:val="22"/>
          <w:lang w:val="es-AR"/>
        </w:rPr>
        <w:footnoteReference w:id="14"/>
      </w:r>
      <w:r w:rsidRPr="00A63F52">
        <w:rPr>
          <w:rFonts w:ascii="Calibri" w:hAnsi="Calibri" w:cs="Calibri"/>
          <w:sz w:val="22"/>
          <w:szCs w:val="22"/>
          <w:lang w:val="es-AR"/>
        </w:rPr>
        <w:t>.</w:t>
      </w:r>
    </w:p>
    <w:p w14:paraId="7ED0407E" w14:textId="370129BD" w:rsidR="00D519D8" w:rsidRPr="00A63F52" w:rsidRDefault="00D519D8" w:rsidP="00ED3ED1">
      <w:pPr>
        <w:jc w:val="both"/>
        <w:rPr>
          <w:rFonts w:ascii="Calibri" w:hAnsi="Calibri" w:cs="Calibri"/>
          <w:sz w:val="22"/>
          <w:szCs w:val="22"/>
          <w:lang w:val="es-AR"/>
        </w:rPr>
      </w:pPr>
      <w:r w:rsidRPr="00A63F52">
        <w:rPr>
          <w:rFonts w:ascii="Calibri" w:hAnsi="Calibri" w:cs="Calibri"/>
          <w:sz w:val="22"/>
          <w:szCs w:val="22"/>
          <w:lang w:val="es-AR"/>
        </w:rPr>
        <w:t xml:space="preserve">Este procedimiento es complejo, largo y costoso para la empresa solicitante y disuade a los </w:t>
      </w:r>
      <w:r w:rsidR="00351739" w:rsidRPr="00A63F52">
        <w:rPr>
          <w:rFonts w:ascii="Calibri" w:hAnsi="Calibri" w:cs="Calibri"/>
          <w:sz w:val="22"/>
          <w:szCs w:val="22"/>
          <w:lang w:val="es-AR"/>
        </w:rPr>
        <w:t xml:space="preserve">actores </w:t>
      </w:r>
      <w:r w:rsidRPr="00A63F52">
        <w:rPr>
          <w:rFonts w:ascii="Calibri" w:hAnsi="Calibri" w:cs="Calibri"/>
          <w:sz w:val="22"/>
          <w:szCs w:val="22"/>
          <w:lang w:val="es-AR"/>
        </w:rPr>
        <w:t>de solicitar la aprobación. Hasta la fecha, ninguna de las 46 empresas registradas en la AMF ha solicitado la</w:t>
      </w:r>
      <w:r w:rsidR="00C826EB" w:rsidRPr="00A63F52">
        <w:rPr>
          <w:rFonts w:ascii="Calibri" w:hAnsi="Calibri" w:cs="Calibri"/>
          <w:sz w:val="22"/>
          <w:szCs w:val="22"/>
          <w:lang w:val="es-AR"/>
        </w:rPr>
        <w:t xml:space="preserve"> homologación</w:t>
      </w:r>
      <w:r w:rsidRPr="00A63F52">
        <w:rPr>
          <w:rFonts w:ascii="Calibri" w:hAnsi="Calibri" w:cs="Calibri"/>
          <w:sz w:val="22"/>
          <w:szCs w:val="22"/>
          <w:lang w:val="es-AR"/>
        </w:rPr>
        <w:t xml:space="preserve">. </w:t>
      </w:r>
    </w:p>
    <w:p w14:paraId="2A9172CF" w14:textId="6A85476D" w:rsidR="00D519D8" w:rsidRPr="00A63F52" w:rsidRDefault="00D519D8" w:rsidP="00ED3ED1">
      <w:pPr>
        <w:jc w:val="both"/>
        <w:rPr>
          <w:rFonts w:ascii="Calibri" w:hAnsi="Calibri" w:cs="Calibri"/>
          <w:sz w:val="22"/>
          <w:szCs w:val="22"/>
          <w:lang w:val="es-AR"/>
        </w:rPr>
      </w:pPr>
      <w:r w:rsidRPr="00A63F52">
        <w:rPr>
          <w:rFonts w:ascii="Calibri" w:hAnsi="Calibri" w:cs="Calibri"/>
          <w:sz w:val="22"/>
          <w:szCs w:val="22"/>
          <w:lang w:val="es-AR"/>
        </w:rPr>
        <w:t>Este régimen de PSAN parece inspirar a la Unión Europea, que planea crear un estatus de "proveedor de servicios de criptoactivos (CASP)" en el proyecto de reglamento MiCa</w:t>
      </w:r>
      <w:r w:rsidR="00CB2E24" w:rsidRPr="00A63F52">
        <w:rPr>
          <w:rStyle w:val="Appelnotedebasdep"/>
          <w:rFonts w:ascii="Calibri" w:hAnsi="Calibri" w:cs="Calibri"/>
          <w:sz w:val="22"/>
          <w:szCs w:val="22"/>
          <w:lang w:val="es-AR"/>
        </w:rPr>
        <w:footnoteReference w:id="15"/>
      </w:r>
      <w:r w:rsidRPr="00A63F52">
        <w:rPr>
          <w:rFonts w:ascii="Calibri" w:hAnsi="Calibri" w:cs="Calibri"/>
          <w:sz w:val="22"/>
          <w:szCs w:val="22"/>
          <w:lang w:val="es-AR"/>
        </w:rPr>
        <w:t>. Esto permitiría una única autorización para operar en todos los países de la Unión Europea.</w:t>
      </w:r>
    </w:p>
    <w:p w14:paraId="5DD28DCC" w14:textId="77777777" w:rsidR="00476503" w:rsidRPr="00A63F52" w:rsidRDefault="00476503" w:rsidP="00ED3ED1">
      <w:pPr>
        <w:jc w:val="both"/>
        <w:rPr>
          <w:rFonts w:ascii="Calibri" w:hAnsi="Calibri" w:cs="Calibri"/>
          <w:sz w:val="22"/>
          <w:szCs w:val="22"/>
          <w:lang w:val="es-AR"/>
        </w:rPr>
      </w:pPr>
    </w:p>
    <w:p w14:paraId="08D27468" w14:textId="54F64F87" w:rsidR="00351436" w:rsidRPr="00F16C86" w:rsidRDefault="00F84D24" w:rsidP="00F16C86">
      <w:pPr>
        <w:pStyle w:val="Titre3"/>
        <w:numPr>
          <w:ilvl w:val="0"/>
          <w:numId w:val="17"/>
        </w:numPr>
        <w:rPr>
          <w:rFonts w:ascii="Calibri" w:hAnsi="Calibri" w:cs="Calibri"/>
          <w:color w:val="auto"/>
          <w:sz w:val="22"/>
          <w:szCs w:val="22"/>
        </w:rPr>
      </w:pPr>
      <w:bookmarkStart w:id="22" w:name="_Toc111047593"/>
      <w:bookmarkStart w:id="23" w:name="_Toc115689857"/>
      <w:r w:rsidRPr="00F16C86">
        <w:rPr>
          <w:rFonts w:ascii="Calibri" w:hAnsi="Calibri" w:cs="Calibri"/>
          <w:color w:val="auto"/>
          <w:sz w:val="22"/>
          <w:szCs w:val="22"/>
        </w:rPr>
        <w:t>El derecho a la cuenta</w:t>
      </w:r>
      <w:bookmarkEnd w:id="22"/>
      <w:bookmarkEnd w:id="23"/>
      <w:r w:rsidR="00EA6D18" w:rsidRPr="00F16C86">
        <w:rPr>
          <w:rFonts w:ascii="Calibri" w:hAnsi="Calibri" w:cs="Calibri"/>
          <w:color w:val="auto"/>
          <w:sz w:val="22"/>
          <w:szCs w:val="22"/>
        </w:rPr>
        <w:t xml:space="preserve"> </w:t>
      </w:r>
    </w:p>
    <w:p w14:paraId="7EAFDEAE" w14:textId="2A95A7F7" w:rsidR="00351436" w:rsidRPr="00A63F52" w:rsidRDefault="00351436" w:rsidP="00ED3ED1">
      <w:pPr>
        <w:jc w:val="both"/>
        <w:rPr>
          <w:rFonts w:ascii="Calibri" w:hAnsi="Calibri" w:cs="Calibri"/>
          <w:sz w:val="22"/>
          <w:szCs w:val="22"/>
          <w:lang w:val="es-AR"/>
        </w:rPr>
      </w:pPr>
    </w:p>
    <w:p w14:paraId="004A0B91" w14:textId="7A8C238C" w:rsidR="00B97F2A" w:rsidRPr="00A63F52" w:rsidRDefault="00B97F2A" w:rsidP="00ED3ED1">
      <w:pPr>
        <w:jc w:val="both"/>
        <w:rPr>
          <w:rFonts w:ascii="Calibri" w:hAnsi="Calibri" w:cs="Calibri"/>
          <w:sz w:val="22"/>
          <w:szCs w:val="22"/>
          <w:lang w:val="es-AR"/>
        </w:rPr>
      </w:pPr>
      <w:r w:rsidRPr="00A63F52">
        <w:rPr>
          <w:rFonts w:ascii="Calibri" w:hAnsi="Calibri" w:cs="Calibri"/>
          <w:sz w:val="22"/>
          <w:szCs w:val="22"/>
          <w:lang w:val="es-AR"/>
        </w:rPr>
        <w:t>Según el informe de la ADAN, "el 70% de las empresas encuestadas reconoce tener grandes dificultades para utilizar un servicio bancario y, más concretamente, para abrir una cuenta</w:t>
      </w:r>
      <w:r w:rsidR="00EA6D18" w:rsidRPr="00A63F52">
        <w:rPr>
          <w:rFonts w:ascii="Calibri" w:hAnsi="Calibri" w:cs="Calibri"/>
          <w:sz w:val="22"/>
          <w:szCs w:val="22"/>
          <w:lang w:val="es-AR"/>
        </w:rPr>
        <w:t xml:space="preserve"> especifica</w:t>
      </w:r>
      <w:r w:rsidRPr="00A63F52">
        <w:rPr>
          <w:rFonts w:ascii="Calibri" w:hAnsi="Calibri" w:cs="Calibri"/>
          <w:sz w:val="22"/>
          <w:szCs w:val="22"/>
          <w:lang w:val="es-AR"/>
        </w:rPr>
        <w:t>"</w:t>
      </w:r>
      <w:r w:rsidRPr="00A63F52">
        <w:rPr>
          <w:rStyle w:val="Appelnotedebasdep"/>
          <w:rFonts w:ascii="Calibri" w:hAnsi="Calibri" w:cs="Calibri"/>
          <w:sz w:val="22"/>
          <w:szCs w:val="22"/>
          <w:lang w:val="es-AR"/>
        </w:rPr>
        <w:footnoteReference w:id="16"/>
      </w:r>
      <w:r w:rsidRPr="00A63F52">
        <w:rPr>
          <w:rFonts w:ascii="Calibri" w:hAnsi="Calibri" w:cs="Calibri"/>
          <w:sz w:val="22"/>
          <w:szCs w:val="22"/>
          <w:lang w:val="es-AR"/>
        </w:rPr>
        <w:t xml:space="preserve">.  </w:t>
      </w:r>
    </w:p>
    <w:p w14:paraId="17F43CF1" w14:textId="77777777" w:rsidR="00F379AE" w:rsidRPr="00A63F52" w:rsidRDefault="00B97F2A" w:rsidP="00ED3ED1">
      <w:pPr>
        <w:jc w:val="both"/>
        <w:rPr>
          <w:rFonts w:ascii="Calibri" w:hAnsi="Calibri" w:cs="Calibri"/>
          <w:sz w:val="22"/>
          <w:szCs w:val="22"/>
          <w:lang w:val="es-AR"/>
        </w:rPr>
      </w:pPr>
      <w:r w:rsidRPr="00A63F52">
        <w:rPr>
          <w:rFonts w:ascii="Calibri" w:hAnsi="Calibri" w:cs="Calibri"/>
          <w:sz w:val="22"/>
          <w:szCs w:val="22"/>
          <w:lang w:val="es-AR"/>
        </w:rPr>
        <w:lastRenderedPageBreak/>
        <w:t xml:space="preserve">Parece que algunas empresas del sector prefieren ocultar su actividad criptográfica para obtener más fácilmente la apertura de su cuenta en un banco. </w:t>
      </w:r>
    </w:p>
    <w:p w14:paraId="33AA588C" w14:textId="507E4A46" w:rsidR="00B97F2A" w:rsidRPr="00A63F52" w:rsidRDefault="00B97F2A" w:rsidP="00ED3ED1">
      <w:pPr>
        <w:jc w:val="both"/>
        <w:rPr>
          <w:rFonts w:ascii="Calibri" w:hAnsi="Calibri" w:cs="Calibri"/>
          <w:sz w:val="22"/>
          <w:szCs w:val="22"/>
          <w:lang w:val="es-AR"/>
        </w:rPr>
      </w:pPr>
      <w:r w:rsidRPr="00A63F52">
        <w:rPr>
          <w:rFonts w:ascii="Calibri" w:hAnsi="Calibri" w:cs="Calibri"/>
          <w:sz w:val="22"/>
          <w:szCs w:val="22"/>
          <w:lang w:val="es-AR"/>
        </w:rPr>
        <w:t>Se trata de una solución a corto plazo porque, en cuanto el banco se dé cuenta, se arriesga a cerrar la cuenta. Esto es lo que le ocurrió a la empresa Bitcoin Avenue cuando recibió la aprobación del PSAN por parte de la AMF</w:t>
      </w:r>
      <w:r w:rsidR="00D16F85" w:rsidRPr="00A63F52">
        <w:rPr>
          <w:rStyle w:val="Appelnotedebasdep"/>
          <w:rFonts w:ascii="Calibri" w:hAnsi="Calibri" w:cs="Calibri"/>
          <w:sz w:val="22"/>
          <w:szCs w:val="22"/>
          <w:lang w:val="es-AR"/>
        </w:rPr>
        <w:footnoteReference w:id="17"/>
      </w:r>
      <w:r w:rsidRPr="00A63F52">
        <w:rPr>
          <w:rFonts w:ascii="Calibri" w:hAnsi="Calibri" w:cs="Calibri"/>
          <w:sz w:val="22"/>
          <w:szCs w:val="22"/>
          <w:lang w:val="es-AR"/>
        </w:rPr>
        <w:t xml:space="preserve">. </w:t>
      </w:r>
    </w:p>
    <w:p w14:paraId="2913C668" w14:textId="6A96F8D4" w:rsidR="00B97F2A" w:rsidRPr="00A63F52" w:rsidRDefault="00B97F2A" w:rsidP="00ED3ED1">
      <w:pPr>
        <w:jc w:val="both"/>
        <w:rPr>
          <w:rFonts w:ascii="Calibri" w:hAnsi="Calibri" w:cs="Calibri"/>
          <w:sz w:val="22"/>
          <w:szCs w:val="22"/>
          <w:lang w:val="es-AR"/>
        </w:rPr>
      </w:pPr>
      <w:r w:rsidRPr="00A63F52">
        <w:rPr>
          <w:rFonts w:ascii="Calibri" w:hAnsi="Calibri" w:cs="Calibri"/>
          <w:sz w:val="22"/>
          <w:szCs w:val="22"/>
          <w:lang w:val="es-AR"/>
        </w:rPr>
        <w:t>Esta dificultad no estaba prevista en los textos de la L</w:t>
      </w:r>
      <w:r w:rsidR="00EA6D18" w:rsidRPr="00A63F52">
        <w:rPr>
          <w:rFonts w:ascii="Calibri" w:hAnsi="Calibri" w:cs="Calibri"/>
          <w:sz w:val="22"/>
          <w:szCs w:val="22"/>
          <w:lang w:val="es-AR"/>
        </w:rPr>
        <w:t xml:space="preserve">ey </w:t>
      </w:r>
      <w:r w:rsidRPr="00A63F52">
        <w:rPr>
          <w:rFonts w:ascii="Calibri" w:hAnsi="Calibri" w:cs="Calibri"/>
          <w:sz w:val="22"/>
          <w:szCs w:val="22"/>
          <w:lang w:val="es-AR"/>
        </w:rPr>
        <w:t xml:space="preserve">Pacte. De hecho, según esta ley de 2019, todas las empresas del sector de las criptomonedas tenían derecho a abrir una cuenta específica en un banco. El resultado en la práctica es que los bancos no son muy cooperativos y esto a pesar de las advertencias de sus autoridades de supervisión ACPR y AMF. </w:t>
      </w:r>
    </w:p>
    <w:p w14:paraId="76AF59F2" w14:textId="77777777" w:rsidR="00B97F2A" w:rsidRPr="00A63F52" w:rsidRDefault="00B97F2A" w:rsidP="00ED3ED1">
      <w:pPr>
        <w:jc w:val="both"/>
        <w:rPr>
          <w:rFonts w:ascii="Calibri" w:hAnsi="Calibri" w:cs="Calibri"/>
          <w:sz w:val="22"/>
          <w:szCs w:val="22"/>
          <w:lang w:val="es-AR"/>
        </w:rPr>
      </w:pPr>
      <w:r w:rsidRPr="00A63F52">
        <w:rPr>
          <w:rFonts w:ascii="Calibri" w:hAnsi="Calibri" w:cs="Calibri"/>
          <w:sz w:val="22"/>
          <w:szCs w:val="22"/>
          <w:lang w:val="es-AR"/>
        </w:rPr>
        <w:t xml:space="preserve">Entre las actividades que realiza un proveedor de activos digitales, la gestión y/o custodia de activos son las que más dificultades plantean para la concesión de una cuenta bancaria. </w:t>
      </w:r>
    </w:p>
    <w:p w14:paraId="401A94C5" w14:textId="77777777" w:rsidR="00B97F2A" w:rsidRPr="00A63F52" w:rsidRDefault="00B97F2A" w:rsidP="00ED3ED1">
      <w:pPr>
        <w:jc w:val="both"/>
        <w:rPr>
          <w:rFonts w:ascii="Calibri" w:hAnsi="Calibri" w:cs="Calibri"/>
          <w:sz w:val="22"/>
          <w:szCs w:val="22"/>
          <w:lang w:val="es-AR"/>
        </w:rPr>
      </w:pPr>
      <w:r w:rsidRPr="00A63F52">
        <w:rPr>
          <w:rFonts w:ascii="Calibri" w:hAnsi="Calibri" w:cs="Calibri"/>
          <w:sz w:val="22"/>
          <w:szCs w:val="22"/>
          <w:lang w:val="es-AR"/>
        </w:rPr>
        <w:t xml:space="preserve">La Ley PACTE debía permitir el desarrollo de la actividad de las criptomonedas en Francia y fomentar la apertura de este sector al mundo bancario. Algunas de las personas entrevistadas dijeron que querían ir a un banco de un país vecino para obtener una cuenta bancaria. </w:t>
      </w:r>
    </w:p>
    <w:p w14:paraId="56CA2D25" w14:textId="77777777" w:rsidR="00B97F2A" w:rsidRPr="00A63F52" w:rsidRDefault="00B97F2A" w:rsidP="00ED3ED1">
      <w:pPr>
        <w:jc w:val="both"/>
        <w:rPr>
          <w:rFonts w:ascii="Calibri" w:hAnsi="Calibri" w:cs="Calibri"/>
          <w:sz w:val="22"/>
          <w:szCs w:val="22"/>
          <w:lang w:val="es-AR"/>
        </w:rPr>
      </w:pPr>
      <w:r w:rsidRPr="00A63F52">
        <w:rPr>
          <w:rFonts w:ascii="Calibri" w:hAnsi="Calibri" w:cs="Calibri"/>
          <w:sz w:val="22"/>
          <w:szCs w:val="22"/>
          <w:lang w:val="es-AR"/>
        </w:rPr>
        <w:t xml:space="preserve">Parece que las instituciones bancarias carecen de conocimientos y formación para evaluar los riesgos asociados a los flujos de criptomonedas/fiduciarios. Muchos de ellos asocian sistemáticamente las criptomonedas con el blanqueo de actividades ilícitas. </w:t>
      </w:r>
    </w:p>
    <w:p w14:paraId="2532CDA5" w14:textId="77777777" w:rsidR="00B97F2A" w:rsidRPr="00A63F52" w:rsidRDefault="00B97F2A" w:rsidP="00ED3ED1">
      <w:pPr>
        <w:jc w:val="both"/>
        <w:rPr>
          <w:rFonts w:ascii="Calibri" w:hAnsi="Calibri" w:cs="Calibri"/>
          <w:sz w:val="22"/>
          <w:szCs w:val="22"/>
          <w:lang w:val="es-AR"/>
        </w:rPr>
      </w:pPr>
      <w:r w:rsidRPr="00A63F52">
        <w:rPr>
          <w:rFonts w:ascii="Calibri" w:hAnsi="Calibri" w:cs="Calibri"/>
          <w:sz w:val="22"/>
          <w:szCs w:val="22"/>
          <w:lang w:val="es-AR"/>
        </w:rPr>
        <w:t xml:space="preserve">Según los actores entrevistados, los bancos no comprenden las oportunidades y los retos económicos y financieros relacionados con las criptomonedas. </w:t>
      </w:r>
    </w:p>
    <w:p w14:paraId="223E19BC" w14:textId="122D6DE7" w:rsidR="00D16F85" w:rsidRPr="00A63F52" w:rsidRDefault="00D16F85" w:rsidP="00ED3ED1">
      <w:pPr>
        <w:jc w:val="both"/>
        <w:rPr>
          <w:rFonts w:ascii="Calibri" w:hAnsi="Calibri" w:cs="Calibri"/>
          <w:sz w:val="22"/>
          <w:szCs w:val="22"/>
          <w:lang w:val="es-AR"/>
        </w:rPr>
      </w:pPr>
      <w:r w:rsidRPr="00A63F52">
        <w:rPr>
          <w:rFonts w:ascii="Calibri" w:hAnsi="Calibri" w:cs="Calibri"/>
          <w:sz w:val="22"/>
          <w:szCs w:val="22"/>
          <w:lang w:val="es-AR"/>
        </w:rPr>
        <w:t xml:space="preserve">En su informe, el ex diputado de París, Pierre Person, propone varias soluciones para facilitar el derecho a la rendición de cuentas, entre ellas: </w:t>
      </w:r>
    </w:p>
    <w:p w14:paraId="6E53CA94" w14:textId="5F632380" w:rsidR="00D16F85" w:rsidRPr="00A63F52" w:rsidRDefault="00D16F85" w:rsidP="00ED3ED1">
      <w:pPr>
        <w:jc w:val="both"/>
        <w:rPr>
          <w:rFonts w:ascii="Calibri" w:hAnsi="Calibri" w:cs="Calibri"/>
          <w:sz w:val="22"/>
          <w:szCs w:val="22"/>
          <w:lang w:val="es-AR"/>
        </w:rPr>
      </w:pPr>
      <w:r w:rsidRPr="00A63F52">
        <w:rPr>
          <w:rFonts w:ascii="Calibri" w:hAnsi="Calibri" w:cs="Calibri"/>
          <w:sz w:val="22"/>
          <w:szCs w:val="22"/>
          <w:lang w:val="es-AR"/>
        </w:rPr>
        <w:t xml:space="preserve">- "Suprimir el procedimiento de derecho de cuentas dedicado a los “criptoactores” en favor del procedimiento de derecho común". </w:t>
      </w:r>
    </w:p>
    <w:p w14:paraId="4A598533" w14:textId="3539432A" w:rsidR="00F84D24" w:rsidRPr="00A63F52" w:rsidRDefault="00D16F85" w:rsidP="00ED3ED1">
      <w:pPr>
        <w:jc w:val="both"/>
        <w:rPr>
          <w:rFonts w:ascii="Calibri" w:hAnsi="Calibri" w:cs="Calibri"/>
          <w:sz w:val="22"/>
          <w:szCs w:val="22"/>
          <w:lang w:val="es-AR"/>
        </w:rPr>
      </w:pPr>
      <w:r w:rsidRPr="00A63F52">
        <w:rPr>
          <w:rFonts w:ascii="Calibri" w:hAnsi="Calibri" w:cs="Calibri"/>
          <w:sz w:val="22"/>
          <w:szCs w:val="22"/>
          <w:lang w:val="es-AR"/>
        </w:rPr>
        <w:t>- Hacer sistemática la imposición de una sanción económica en forma de multa cuando una entidad de crédito asignada por el Banco de Francia en virtud del derecho de cuenta no cumpla con sus obligaciones".</w:t>
      </w:r>
    </w:p>
    <w:p w14:paraId="70D26E4F" w14:textId="53DEB48D" w:rsidR="00D16F85" w:rsidRPr="00A63F52" w:rsidRDefault="00D16F85" w:rsidP="00ED3ED1">
      <w:pPr>
        <w:jc w:val="both"/>
        <w:rPr>
          <w:rFonts w:ascii="Calibri" w:hAnsi="Calibri" w:cs="Calibri"/>
          <w:sz w:val="22"/>
          <w:szCs w:val="22"/>
          <w:lang w:val="es-AR"/>
        </w:rPr>
      </w:pPr>
    </w:p>
    <w:p w14:paraId="21C155C6" w14:textId="312954D5" w:rsidR="00D16F85" w:rsidRPr="00F16C86" w:rsidRDefault="00D16F85" w:rsidP="00F16C86">
      <w:pPr>
        <w:pStyle w:val="Titre3"/>
        <w:numPr>
          <w:ilvl w:val="0"/>
          <w:numId w:val="17"/>
        </w:numPr>
        <w:rPr>
          <w:rFonts w:ascii="Calibri" w:hAnsi="Calibri" w:cs="Calibri"/>
          <w:color w:val="auto"/>
          <w:sz w:val="22"/>
          <w:szCs w:val="22"/>
        </w:rPr>
      </w:pPr>
      <w:bookmarkStart w:id="24" w:name="_Toc111047594"/>
      <w:bookmarkStart w:id="25" w:name="_Toc115689858"/>
      <w:r w:rsidRPr="00F16C86">
        <w:rPr>
          <w:rFonts w:ascii="Calibri" w:hAnsi="Calibri" w:cs="Calibri"/>
          <w:color w:val="auto"/>
          <w:sz w:val="22"/>
          <w:szCs w:val="22"/>
        </w:rPr>
        <w:t>Seguros</w:t>
      </w:r>
      <w:bookmarkEnd w:id="24"/>
      <w:bookmarkEnd w:id="25"/>
    </w:p>
    <w:p w14:paraId="19A82F98" w14:textId="6436A73E" w:rsidR="00ED3ED1" w:rsidRPr="00A63F52" w:rsidRDefault="00ED3ED1" w:rsidP="00ED3ED1">
      <w:pPr>
        <w:jc w:val="both"/>
        <w:rPr>
          <w:rFonts w:ascii="Calibri" w:hAnsi="Calibri" w:cs="Calibri"/>
          <w:sz w:val="22"/>
          <w:szCs w:val="22"/>
          <w:lang w:val="es-AR"/>
        </w:rPr>
      </w:pPr>
    </w:p>
    <w:p w14:paraId="0C53382D" w14:textId="5CEFA45F" w:rsidR="00ED3ED1" w:rsidRPr="00A63F52" w:rsidRDefault="00ED3ED1" w:rsidP="00ED3ED1">
      <w:pPr>
        <w:jc w:val="both"/>
        <w:rPr>
          <w:rFonts w:ascii="Calibri" w:hAnsi="Calibri" w:cs="Calibri"/>
          <w:sz w:val="22"/>
          <w:szCs w:val="22"/>
          <w:lang w:val="es-AR"/>
        </w:rPr>
      </w:pPr>
      <w:r w:rsidRPr="00A63F52">
        <w:rPr>
          <w:rFonts w:ascii="Calibri" w:hAnsi="Calibri" w:cs="Calibri"/>
          <w:sz w:val="22"/>
          <w:szCs w:val="22"/>
          <w:lang w:val="es-AR"/>
        </w:rPr>
        <w:t>Las empresas del sector tienen dificultades para obtener seguros. "El 55% de las empresas encuestadas ha tenido dificultades para obtener un seguro”</w:t>
      </w:r>
      <w:r w:rsidRPr="00A63F52">
        <w:rPr>
          <w:rStyle w:val="Appelnotedebasdep"/>
          <w:rFonts w:ascii="Calibri" w:hAnsi="Calibri" w:cs="Calibri"/>
          <w:sz w:val="22"/>
          <w:szCs w:val="22"/>
          <w:lang w:val="es-AR"/>
        </w:rPr>
        <w:footnoteReference w:id="18"/>
      </w:r>
      <w:r w:rsidRPr="00A63F52">
        <w:rPr>
          <w:rFonts w:ascii="Calibri" w:hAnsi="Calibri" w:cs="Calibri"/>
          <w:sz w:val="22"/>
          <w:szCs w:val="22"/>
          <w:lang w:val="es-AR"/>
        </w:rPr>
        <w:t xml:space="preserve">.  </w:t>
      </w:r>
    </w:p>
    <w:p w14:paraId="6F9ECCF8" w14:textId="77777777" w:rsidR="00ED3ED1" w:rsidRPr="00A63F52" w:rsidRDefault="00ED3ED1" w:rsidP="00ED3ED1">
      <w:pPr>
        <w:jc w:val="both"/>
        <w:rPr>
          <w:rFonts w:ascii="Calibri" w:hAnsi="Calibri" w:cs="Calibri"/>
          <w:sz w:val="22"/>
          <w:szCs w:val="22"/>
          <w:lang w:val="es-AR"/>
        </w:rPr>
      </w:pPr>
      <w:r w:rsidRPr="00A63F52">
        <w:rPr>
          <w:rFonts w:ascii="Calibri" w:hAnsi="Calibri" w:cs="Calibri"/>
          <w:sz w:val="22"/>
          <w:szCs w:val="22"/>
          <w:lang w:val="es-AR"/>
        </w:rPr>
        <w:t xml:space="preserve">Sabemos que la responsabilidad civil profesional es obligatoria para poder ejercer una actividad comercial. Sin embargo, aunque se recomienda encarecidamente, las compañías de seguros no ofrecen este producto para las criptomonedas. </w:t>
      </w:r>
    </w:p>
    <w:p w14:paraId="3A2A2FE5" w14:textId="77777777" w:rsidR="00ED3ED1" w:rsidRPr="00A63F52" w:rsidRDefault="00ED3ED1" w:rsidP="00ED3ED1">
      <w:pPr>
        <w:jc w:val="both"/>
        <w:rPr>
          <w:rFonts w:ascii="Calibri" w:hAnsi="Calibri" w:cs="Calibri"/>
          <w:sz w:val="22"/>
          <w:szCs w:val="22"/>
          <w:lang w:val="es-AR"/>
        </w:rPr>
      </w:pPr>
      <w:r w:rsidRPr="00A63F52">
        <w:rPr>
          <w:rFonts w:ascii="Calibri" w:hAnsi="Calibri" w:cs="Calibri"/>
          <w:sz w:val="22"/>
          <w:szCs w:val="22"/>
          <w:lang w:val="es-AR"/>
        </w:rPr>
        <w:t xml:space="preserve">Esta falta de seguros anima a estas empresas a recurrir a empresas extranjeras o a compañías de seguros descentralizadas para asegurar sus actividades de criptografía. </w:t>
      </w:r>
    </w:p>
    <w:p w14:paraId="7F7C29F2" w14:textId="77777777" w:rsidR="00ED3ED1" w:rsidRPr="00A63F52" w:rsidRDefault="00ED3ED1" w:rsidP="00ED3ED1">
      <w:pPr>
        <w:jc w:val="both"/>
        <w:rPr>
          <w:rFonts w:ascii="Calibri" w:hAnsi="Calibri" w:cs="Calibri"/>
          <w:sz w:val="22"/>
          <w:szCs w:val="22"/>
          <w:lang w:val="es-AR"/>
        </w:rPr>
      </w:pPr>
      <w:r w:rsidRPr="00A63F52">
        <w:rPr>
          <w:rFonts w:ascii="Calibri" w:hAnsi="Calibri" w:cs="Calibri"/>
          <w:sz w:val="22"/>
          <w:szCs w:val="22"/>
          <w:lang w:val="es-AR"/>
        </w:rPr>
        <w:t xml:space="preserve">Que yo sepa, todavía no ha habido ninguna propuesta para mejorar este criterio. </w:t>
      </w:r>
    </w:p>
    <w:p w14:paraId="59622D3C" w14:textId="77777777" w:rsidR="00ED3ED1" w:rsidRPr="00A63F52" w:rsidRDefault="00ED3ED1" w:rsidP="00ED3ED1">
      <w:pPr>
        <w:jc w:val="both"/>
        <w:rPr>
          <w:rFonts w:ascii="Calibri" w:hAnsi="Calibri" w:cs="Calibri"/>
          <w:sz w:val="22"/>
          <w:szCs w:val="22"/>
          <w:lang w:val="es-AR"/>
        </w:rPr>
      </w:pPr>
    </w:p>
    <w:p w14:paraId="70CA7B27" w14:textId="598C84AB" w:rsidR="00ED3ED1" w:rsidRPr="00A63F52" w:rsidRDefault="00ED3ED1" w:rsidP="00ED3ED1">
      <w:pPr>
        <w:jc w:val="both"/>
        <w:rPr>
          <w:rFonts w:ascii="Calibri" w:hAnsi="Calibri" w:cs="Calibri"/>
          <w:sz w:val="22"/>
          <w:szCs w:val="22"/>
          <w:lang w:val="es-AR"/>
        </w:rPr>
      </w:pPr>
      <w:r w:rsidRPr="00A63F52">
        <w:rPr>
          <w:rFonts w:ascii="Calibri" w:hAnsi="Calibri" w:cs="Calibri"/>
          <w:sz w:val="22"/>
          <w:szCs w:val="22"/>
          <w:lang w:val="es-AR"/>
        </w:rPr>
        <w:lastRenderedPageBreak/>
        <w:t xml:space="preserve">Por lo tanto, los actores de la criptografía en Francia pueden encontrar algunas dificultades para llevar a cabo sus actividades. Esto se debe a la imagen a menudo negativa o incluso fragmentada de los responsables de las políticas públicas sobre las criptomonedas. Será oportuno conocer el seguimiento de las propuestas realizadas. </w:t>
      </w:r>
    </w:p>
    <w:p w14:paraId="7ECA7274" w14:textId="3795C048" w:rsidR="00B72E36" w:rsidRPr="00A63F52" w:rsidRDefault="00B72E36" w:rsidP="00ED3ED1">
      <w:pPr>
        <w:jc w:val="both"/>
        <w:rPr>
          <w:rFonts w:ascii="Calibri" w:hAnsi="Calibri" w:cs="Calibri"/>
          <w:sz w:val="22"/>
          <w:szCs w:val="22"/>
          <w:lang w:val="es-AR"/>
        </w:rPr>
      </w:pPr>
    </w:p>
    <w:p w14:paraId="06FE529E" w14:textId="65B41D4F" w:rsidR="00B72E36" w:rsidRPr="00A63F52" w:rsidRDefault="00B72E36" w:rsidP="00ED3ED1">
      <w:pPr>
        <w:jc w:val="both"/>
        <w:rPr>
          <w:rFonts w:ascii="Calibri" w:hAnsi="Calibri" w:cs="Calibri"/>
          <w:sz w:val="22"/>
          <w:szCs w:val="22"/>
          <w:lang w:val="es-AR"/>
        </w:rPr>
      </w:pPr>
    </w:p>
    <w:p w14:paraId="49D55C74" w14:textId="4DFB58D5" w:rsidR="00B72E36" w:rsidRPr="00BD7CD6" w:rsidRDefault="00B72E36" w:rsidP="00BD7CD6">
      <w:pPr>
        <w:pStyle w:val="Titre2"/>
        <w:ind w:firstLine="708"/>
        <w:rPr>
          <w:rFonts w:ascii="Calibri" w:hAnsi="Calibri" w:cs="Calibri"/>
          <w:caps/>
          <w:color w:val="auto"/>
          <w:sz w:val="22"/>
          <w:szCs w:val="22"/>
          <w:lang w:val="es-AR"/>
        </w:rPr>
      </w:pPr>
      <w:bookmarkStart w:id="26" w:name="_Toc111047595"/>
      <w:bookmarkStart w:id="27" w:name="_Toc115689859"/>
      <w:r w:rsidRPr="00BD7CD6">
        <w:rPr>
          <w:rFonts w:ascii="Calibri" w:hAnsi="Calibri" w:cs="Calibri"/>
          <w:caps/>
          <w:color w:val="auto"/>
          <w:sz w:val="22"/>
          <w:szCs w:val="22"/>
          <w:lang w:val="es-AR"/>
        </w:rPr>
        <w:t>Conclusión</w:t>
      </w:r>
      <w:bookmarkEnd w:id="26"/>
      <w:bookmarkEnd w:id="27"/>
    </w:p>
    <w:p w14:paraId="1FBAEB3D" w14:textId="0C086FCF" w:rsidR="00ED3ED1" w:rsidRPr="00A63F52" w:rsidRDefault="00ED3ED1" w:rsidP="00ED3ED1">
      <w:pPr>
        <w:jc w:val="both"/>
        <w:rPr>
          <w:rFonts w:ascii="Calibri" w:hAnsi="Calibri" w:cs="Calibri"/>
          <w:sz w:val="22"/>
          <w:szCs w:val="22"/>
          <w:lang w:val="es-AR"/>
        </w:rPr>
      </w:pPr>
    </w:p>
    <w:p w14:paraId="5F9DEF72" w14:textId="77777777" w:rsidR="00E32F23" w:rsidRDefault="00494ACB" w:rsidP="00ED3ED1">
      <w:pPr>
        <w:jc w:val="both"/>
        <w:rPr>
          <w:rFonts w:ascii="Calibri" w:hAnsi="Calibri" w:cs="Calibri"/>
          <w:sz w:val="22"/>
          <w:szCs w:val="22"/>
          <w:lang w:val="es-AR"/>
        </w:rPr>
      </w:pPr>
      <w:r w:rsidRPr="00A63F52">
        <w:rPr>
          <w:rFonts w:ascii="Calibri" w:hAnsi="Calibri" w:cs="Calibri"/>
          <w:sz w:val="22"/>
          <w:szCs w:val="22"/>
          <w:lang w:val="es-AR"/>
        </w:rPr>
        <w:t xml:space="preserve">El número de inversores individuales y corporativos interesados en los criptoactivos ha aumentado desde el año pasado. El ecosistema de criptomonedas activas evoluciona cada día más. Se han propuesto áreas de mejora para tener un ecosistema competitivo. </w:t>
      </w:r>
    </w:p>
    <w:p w14:paraId="23B2E752" w14:textId="3969C81C" w:rsidR="00494ACB" w:rsidRPr="00A63F52" w:rsidRDefault="00E32F23" w:rsidP="00ED3ED1">
      <w:pPr>
        <w:jc w:val="both"/>
        <w:rPr>
          <w:rFonts w:ascii="Calibri" w:hAnsi="Calibri" w:cs="Calibri"/>
          <w:sz w:val="22"/>
          <w:szCs w:val="22"/>
          <w:lang w:val="es-AR"/>
        </w:rPr>
      </w:pPr>
      <w:r w:rsidRPr="00E32F23">
        <w:rPr>
          <w:rFonts w:ascii="Calibri" w:hAnsi="Calibri" w:cs="Calibri"/>
          <w:sz w:val="22"/>
          <w:szCs w:val="22"/>
          <w:lang w:val="es-AR"/>
        </w:rPr>
        <w:t xml:space="preserve">El proyecto de ley de </w:t>
      </w:r>
      <w:r>
        <w:rPr>
          <w:rFonts w:ascii="Calibri" w:hAnsi="Calibri" w:cs="Calibri"/>
          <w:sz w:val="22"/>
          <w:szCs w:val="22"/>
          <w:lang w:val="es-AR"/>
        </w:rPr>
        <w:t>presupuesto</w:t>
      </w:r>
      <w:r w:rsidRPr="00E32F23">
        <w:rPr>
          <w:rFonts w:ascii="Calibri" w:hAnsi="Calibri" w:cs="Calibri"/>
          <w:sz w:val="22"/>
          <w:szCs w:val="22"/>
          <w:lang w:val="es-AR"/>
        </w:rPr>
        <w:t xml:space="preserve"> se publicó a finales de septiembre. Lamentablemente, no tiene en cuenta las propuestas realizadas por el </w:t>
      </w:r>
      <w:r>
        <w:rPr>
          <w:rFonts w:ascii="Calibri" w:hAnsi="Calibri" w:cs="Calibri"/>
          <w:sz w:val="22"/>
          <w:szCs w:val="22"/>
          <w:lang w:val="es-AR"/>
        </w:rPr>
        <w:t>ex diputado Pierre Person</w:t>
      </w:r>
      <w:r w:rsidRPr="00E32F23">
        <w:rPr>
          <w:rFonts w:ascii="Calibri" w:hAnsi="Calibri" w:cs="Calibri"/>
          <w:sz w:val="22"/>
          <w:szCs w:val="22"/>
          <w:lang w:val="es-AR"/>
        </w:rPr>
        <w:t xml:space="preserve">.  La ley </w:t>
      </w:r>
      <w:r>
        <w:rPr>
          <w:rFonts w:ascii="Calibri" w:hAnsi="Calibri" w:cs="Calibri"/>
          <w:sz w:val="22"/>
          <w:szCs w:val="22"/>
          <w:lang w:val="es-AR"/>
        </w:rPr>
        <w:t xml:space="preserve">de presupuesto </w:t>
      </w:r>
      <w:r w:rsidRPr="00E32F23">
        <w:rPr>
          <w:rFonts w:ascii="Calibri" w:hAnsi="Calibri" w:cs="Calibri"/>
          <w:sz w:val="22"/>
          <w:szCs w:val="22"/>
          <w:lang w:val="es-AR"/>
        </w:rPr>
        <w:t xml:space="preserve">no se votará hasta el final del cuarto trimestre de 2022. Mientras tanto, queda esperar que se produzcan </w:t>
      </w:r>
      <w:r w:rsidR="00CF48E1">
        <w:rPr>
          <w:rFonts w:ascii="Calibri" w:hAnsi="Calibri" w:cs="Calibri"/>
          <w:sz w:val="22"/>
          <w:szCs w:val="22"/>
          <w:lang w:val="es-AR"/>
        </w:rPr>
        <w:t>enmiendas</w:t>
      </w:r>
      <w:r w:rsidRPr="00E32F23">
        <w:rPr>
          <w:rFonts w:ascii="Calibri" w:hAnsi="Calibri" w:cs="Calibri"/>
          <w:sz w:val="22"/>
          <w:szCs w:val="22"/>
          <w:lang w:val="es-AR"/>
        </w:rPr>
        <w:t xml:space="preserve"> a favor del ecosistema</w:t>
      </w:r>
      <w:r w:rsidR="00CF48E1">
        <w:rPr>
          <w:rFonts w:ascii="Calibri" w:hAnsi="Calibri" w:cs="Calibri"/>
          <w:sz w:val="22"/>
          <w:szCs w:val="22"/>
          <w:lang w:val="es-AR"/>
        </w:rPr>
        <w:t xml:space="preserve"> francés</w:t>
      </w:r>
      <w:r w:rsidRPr="00E32F23">
        <w:rPr>
          <w:rFonts w:ascii="Calibri" w:hAnsi="Calibri" w:cs="Calibri"/>
          <w:sz w:val="22"/>
          <w:szCs w:val="22"/>
          <w:lang w:val="es-AR"/>
        </w:rPr>
        <w:t xml:space="preserve"> de las criptomonedas.</w:t>
      </w:r>
    </w:p>
    <w:p w14:paraId="2183FECB" w14:textId="5FD2836B" w:rsidR="00494ACB" w:rsidRPr="00A63F52" w:rsidRDefault="00494ACB" w:rsidP="00ED3ED1">
      <w:pPr>
        <w:jc w:val="both"/>
        <w:rPr>
          <w:rFonts w:ascii="Calibri" w:hAnsi="Calibri" w:cs="Calibri"/>
          <w:sz w:val="22"/>
          <w:szCs w:val="22"/>
          <w:lang w:val="es-AR"/>
        </w:rPr>
      </w:pPr>
    </w:p>
    <w:p w14:paraId="2A087943" w14:textId="2220CD91" w:rsidR="00494ACB" w:rsidRPr="00A63F52" w:rsidRDefault="00494ACB">
      <w:pPr>
        <w:rPr>
          <w:rFonts w:ascii="Calibri" w:hAnsi="Calibri" w:cs="Calibri"/>
          <w:sz w:val="22"/>
          <w:szCs w:val="22"/>
          <w:lang w:val="es-AR"/>
        </w:rPr>
      </w:pPr>
      <w:r w:rsidRPr="00A63F52">
        <w:rPr>
          <w:rFonts w:ascii="Calibri" w:hAnsi="Calibri" w:cs="Calibri"/>
          <w:sz w:val="22"/>
          <w:szCs w:val="22"/>
          <w:lang w:val="es-AR"/>
        </w:rPr>
        <w:br w:type="page"/>
      </w:r>
    </w:p>
    <w:p w14:paraId="5F7AFF6D" w14:textId="13C8B13D" w:rsidR="00494ACB" w:rsidRPr="00CF14D5" w:rsidRDefault="00E679FB" w:rsidP="005412F5">
      <w:pPr>
        <w:pStyle w:val="Titre2"/>
        <w:rPr>
          <w:rFonts w:ascii="Calibri" w:hAnsi="Calibri" w:cs="Calibri"/>
          <w:color w:val="auto"/>
          <w:sz w:val="22"/>
          <w:szCs w:val="22"/>
          <w:lang w:val="es-AR"/>
        </w:rPr>
      </w:pPr>
      <w:bookmarkStart w:id="28" w:name="_Toc111047596"/>
      <w:bookmarkStart w:id="29" w:name="_Toc115689860"/>
      <w:r w:rsidRPr="00CF14D5">
        <w:rPr>
          <w:rFonts w:ascii="Calibri" w:hAnsi="Calibri" w:cs="Calibri"/>
          <w:color w:val="auto"/>
          <w:sz w:val="22"/>
          <w:szCs w:val="22"/>
          <w:lang w:val="es-AR"/>
        </w:rPr>
        <w:lastRenderedPageBreak/>
        <w:t>Apéndice</w:t>
      </w:r>
      <w:r w:rsidR="00494ACB" w:rsidRPr="00CF14D5">
        <w:rPr>
          <w:rFonts w:ascii="Calibri" w:hAnsi="Calibri" w:cs="Calibri"/>
          <w:color w:val="auto"/>
          <w:sz w:val="22"/>
          <w:szCs w:val="22"/>
          <w:lang w:val="es-AR"/>
        </w:rPr>
        <w:t xml:space="preserve">: </w:t>
      </w:r>
      <w:r w:rsidR="003D6A08" w:rsidRPr="00CF14D5">
        <w:rPr>
          <w:rFonts w:ascii="Calibri" w:hAnsi="Calibri" w:cs="Calibri"/>
          <w:color w:val="auto"/>
          <w:sz w:val="22"/>
          <w:szCs w:val="22"/>
          <w:lang w:val="es-AR"/>
        </w:rPr>
        <w:t xml:space="preserve">Cuadro representativo </w:t>
      </w:r>
      <w:r w:rsidR="00494ACB" w:rsidRPr="00CF14D5">
        <w:rPr>
          <w:rFonts w:ascii="Calibri" w:hAnsi="Calibri" w:cs="Calibri"/>
          <w:color w:val="auto"/>
          <w:sz w:val="22"/>
          <w:szCs w:val="22"/>
          <w:lang w:val="es-AR"/>
        </w:rPr>
        <w:t>del ecosistema francés</w:t>
      </w:r>
      <w:bookmarkEnd w:id="28"/>
      <w:bookmarkEnd w:id="29"/>
    </w:p>
    <w:p w14:paraId="4C297D19" w14:textId="2C607F44" w:rsidR="00494ACB" w:rsidRPr="00CF14D5" w:rsidRDefault="00494ACB" w:rsidP="00ED3ED1">
      <w:pPr>
        <w:jc w:val="both"/>
        <w:rPr>
          <w:rFonts w:ascii="Calibri" w:hAnsi="Calibri" w:cs="Calibri"/>
          <w:sz w:val="22"/>
          <w:szCs w:val="22"/>
          <w:lang w:val="es-AR"/>
        </w:rPr>
      </w:pPr>
    </w:p>
    <w:p w14:paraId="0CFF1079" w14:textId="3027B159" w:rsidR="0023730D" w:rsidRPr="00A63F52" w:rsidRDefault="0023730D" w:rsidP="00ED3ED1">
      <w:pPr>
        <w:jc w:val="both"/>
        <w:rPr>
          <w:rFonts w:ascii="Calibri" w:hAnsi="Calibri" w:cs="Calibri"/>
          <w:sz w:val="22"/>
          <w:szCs w:val="22"/>
          <w:lang w:val="es-AR"/>
        </w:rPr>
      </w:pPr>
    </w:p>
    <w:p w14:paraId="7DCB706E" w14:textId="60F04D54" w:rsidR="0023730D" w:rsidRPr="00A63F52" w:rsidRDefault="0023730D" w:rsidP="005412F5">
      <w:pPr>
        <w:pStyle w:val="Titre2"/>
        <w:rPr>
          <w:rFonts w:ascii="Calibri" w:hAnsi="Calibri" w:cs="Calibri"/>
          <w:sz w:val="22"/>
          <w:szCs w:val="22"/>
          <w:lang w:val="es-AR"/>
        </w:rPr>
      </w:pPr>
      <w:bookmarkStart w:id="30" w:name="_Toc111043916"/>
      <w:bookmarkStart w:id="31" w:name="_Toc111044108"/>
      <w:bookmarkStart w:id="32" w:name="_Toc111045154"/>
      <w:bookmarkStart w:id="33" w:name="_Toc111047597"/>
      <w:bookmarkStart w:id="34" w:name="_Toc115689861"/>
      <w:r w:rsidRPr="00A63F52">
        <w:rPr>
          <w:rFonts w:ascii="Calibri" w:hAnsi="Calibri" w:cs="Calibri"/>
          <w:noProof/>
          <w:sz w:val="22"/>
          <w:szCs w:val="22"/>
          <w:lang w:val="es-AR"/>
        </w:rPr>
        <w:drawing>
          <wp:inline distT="0" distB="0" distL="0" distR="0" wp14:anchorId="7DD37D95" wp14:editId="47D4149F">
            <wp:extent cx="5760720" cy="4194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194175"/>
                    </a:xfrm>
                    <a:prstGeom prst="rect">
                      <a:avLst/>
                    </a:prstGeom>
                    <a:noFill/>
                    <a:ln>
                      <a:noFill/>
                    </a:ln>
                  </pic:spPr>
                </pic:pic>
              </a:graphicData>
            </a:graphic>
          </wp:inline>
        </w:drawing>
      </w:r>
      <w:bookmarkEnd w:id="30"/>
      <w:bookmarkEnd w:id="31"/>
      <w:bookmarkEnd w:id="32"/>
      <w:bookmarkEnd w:id="33"/>
      <w:bookmarkEnd w:id="34"/>
    </w:p>
    <w:p w14:paraId="5B14FF02" w14:textId="4F87CAFD" w:rsidR="0023730D" w:rsidRPr="00A63F52" w:rsidRDefault="0023730D" w:rsidP="00ED3ED1">
      <w:pPr>
        <w:jc w:val="both"/>
        <w:rPr>
          <w:rFonts w:ascii="Calibri" w:hAnsi="Calibri" w:cs="Calibri"/>
          <w:sz w:val="22"/>
          <w:szCs w:val="22"/>
          <w:lang w:val="es-AR"/>
        </w:rPr>
      </w:pPr>
    </w:p>
    <w:p w14:paraId="27833A5B" w14:textId="706284DB" w:rsidR="0023730D" w:rsidRPr="00A63F52" w:rsidRDefault="0023730D" w:rsidP="00ED3ED1">
      <w:pPr>
        <w:jc w:val="both"/>
        <w:rPr>
          <w:rFonts w:ascii="Calibri" w:hAnsi="Calibri" w:cs="Calibri"/>
          <w:sz w:val="22"/>
          <w:szCs w:val="22"/>
          <w:lang w:val="es-AR"/>
        </w:rPr>
      </w:pPr>
    </w:p>
    <w:p w14:paraId="0E8FB08F" w14:textId="2E27E2FE" w:rsidR="0023730D" w:rsidRPr="00A63F52" w:rsidRDefault="0023730D" w:rsidP="00ED3ED1">
      <w:pPr>
        <w:jc w:val="both"/>
        <w:rPr>
          <w:rFonts w:ascii="Calibri" w:hAnsi="Calibri" w:cs="Calibri"/>
          <w:sz w:val="22"/>
          <w:szCs w:val="22"/>
          <w:lang w:val="es-AR"/>
        </w:rPr>
      </w:pPr>
    </w:p>
    <w:p w14:paraId="4B3BEBD6" w14:textId="44E17678" w:rsidR="0023730D" w:rsidRPr="00A63F52" w:rsidRDefault="0023730D">
      <w:pPr>
        <w:rPr>
          <w:rFonts w:ascii="Calibri" w:hAnsi="Calibri" w:cs="Calibri"/>
          <w:sz w:val="22"/>
          <w:szCs w:val="22"/>
          <w:lang w:val="es-AR"/>
        </w:rPr>
      </w:pPr>
      <w:r w:rsidRPr="00A63F52">
        <w:rPr>
          <w:rFonts w:ascii="Calibri" w:hAnsi="Calibri" w:cs="Calibri"/>
          <w:sz w:val="22"/>
          <w:szCs w:val="22"/>
          <w:lang w:val="es-AR"/>
        </w:rPr>
        <w:br w:type="page"/>
      </w:r>
    </w:p>
    <w:p w14:paraId="28D9A7F5" w14:textId="77777777" w:rsidR="0023730D" w:rsidRPr="00CF14D5" w:rsidRDefault="0023730D" w:rsidP="005412F5">
      <w:pPr>
        <w:pStyle w:val="Titre2"/>
        <w:rPr>
          <w:rFonts w:ascii="Calibri" w:hAnsi="Calibri" w:cs="Calibri"/>
          <w:color w:val="auto"/>
          <w:sz w:val="22"/>
          <w:szCs w:val="22"/>
          <w:lang w:val="es-AR"/>
        </w:rPr>
      </w:pPr>
      <w:bookmarkStart w:id="35" w:name="_Toc111047598"/>
      <w:bookmarkStart w:id="36" w:name="_Toc115689862"/>
      <w:r w:rsidRPr="00CF14D5">
        <w:rPr>
          <w:rFonts w:ascii="Calibri" w:hAnsi="Calibri" w:cs="Calibri"/>
          <w:color w:val="auto"/>
          <w:sz w:val="22"/>
          <w:szCs w:val="22"/>
          <w:lang w:val="es-AR"/>
        </w:rPr>
        <w:lastRenderedPageBreak/>
        <w:t>Bibliografía</w:t>
      </w:r>
      <w:bookmarkEnd w:id="35"/>
      <w:bookmarkEnd w:id="36"/>
    </w:p>
    <w:p w14:paraId="410D230B" w14:textId="77777777" w:rsidR="0023730D" w:rsidRPr="00CF14D5" w:rsidRDefault="0023730D" w:rsidP="0023730D">
      <w:pPr>
        <w:jc w:val="both"/>
        <w:rPr>
          <w:rFonts w:ascii="Calibri" w:hAnsi="Calibri" w:cs="Calibri"/>
          <w:sz w:val="22"/>
          <w:szCs w:val="22"/>
          <w:lang w:val="es-AR"/>
        </w:rPr>
      </w:pPr>
    </w:p>
    <w:p w14:paraId="300629F3" w14:textId="301B1479" w:rsidR="0023730D" w:rsidRPr="00CF14D5" w:rsidRDefault="0023730D" w:rsidP="006B23BD">
      <w:pPr>
        <w:pStyle w:val="Paragraphedeliste"/>
        <w:jc w:val="both"/>
        <w:rPr>
          <w:rFonts w:ascii="Calibri" w:hAnsi="Calibri" w:cs="Calibri"/>
          <w:sz w:val="22"/>
          <w:szCs w:val="22"/>
          <w:lang w:val="es-AR"/>
        </w:rPr>
      </w:pPr>
      <w:r w:rsidRPr="00CF14D5">
        <w:rPr>
          <w:rFonts w:ascii="Calibri" w:hAnsi="Calibri" w:cs="Calibri"/>
          <w:sz w:val="22"/>
          <w:szCs w:val="22"/>
          <w:lang w:val="es-AR"/>
        </w:rPr>
        <w:t>Informe ADAN y KPMG: "La crypto en France: Structuration du secteur et adoption par le grand public", febrero de 2022.</w:t>
      </w:r>
    </w:p>
    <w:p w14:paraId="778417A8" w14:textId="77777777" w:rsidR="0023730D" w:rsidRPr="00CF14D5" w:rsidRDefault="0023730D" w:rsidP="0023730D">
      <w:pPr>
        <w:jc w:val="both"/>
        <w:rPr>
          <w:rFonts w:ascii="Calibri" w:hAnsi="Calibri" w:cs="Calibri"/>
          <w:sz w:val="22"/>
          <w:szCs w:val="22"/>
          <w:lang w:val="es-AR"/>
        </w:rPr>
      </w:pPr>
    </w:p>
    <w:p w14:paraId="50D906E8" w14:textId="01320B33" w:rsidR="00086A37" w:rsidRPr="00CF14D5" w:rsidRDefault="0023730D" w:rsidP="006B23BD">
      <w:pPr>
        <w:pStyle w:val="Paragraphedeliste"/>
        <w:jc w:val="both"/>
        <w:rPr>
          <w:rFonts w:ascii="Calibri" w:hAnsi="Calibri" w:cs="Calibri"/>
          <w:sz w:val="22"/>
          <w:szCs w:val="22"/>
          <w:lang w:val="es-AR"/>
        </w:rPr>
      </w:pPr>
      <w:r w:rsidRPr="00CF14D5">
        <w:rPr>
          <w:rFonts w:ascii="Calibri" w:hAnsi="Calibri" w:cs="Calibri"/>
          <w:sz w:val="22"/>
          <w:szCs w:val="22"/>
          <w:lang w:val="es-AR"/>
        </w:rPr>
        <w:t>“Monnaie, banques et finance: vers une nouvelle ère crypto", informe de Pierre Person, diputado por París, 10 de junio de 2022.</w:t>
      </w:r>
    </w:p>
    <w:p w14:paraId="09212C0B" w14:textId="1782575A" w:rsidR="000E22B4" w:rsidRPr="00CF14D5" w:rsidRDefault="00000000" w:rsidP="000E22B4">
      <w:pPr>
        <w:ind w:left="708"/>
        <w:jc w:val="both"/>
        <w:rPr>
          <w:rFonts w:ascii="Calibri" w:hAnsi="Calibri" w:cs="Calibri"/>
          <w:sz w:val="22"/>
          <w:szCs w:val="22"/>
          <w:lang w:val="es-AR"/>
        </w:rPr>
      </w:pPr>
      <w:hyperlink r:id="rId9" w:history="1">
        <w:r w:rsidR="00086A37" w:rsidRPr="00CF14D5">
          <w:rPr>
            <w:rStyle w:val="Lienhypertexte"/>
            <w:rFonts w:ascii="Calibri" w:hAnsi="Calibri" w:cs="Calibri"/>
            <w:color w:val="auto"/>
            <w:sz w:val="22"/>
            <w:szCs w:val="22"/>
            <w:lang w:val="es-AR"/>
          </w:rPr>
          <w:t>https://t.co/bbokWfpcBs</w:t>
        </w:r>
      </w:hyperlink>
    </w:p>
    <w:p w14:paraId="7EFF87D7" w14:textId="77777777" w:rsidR="0023730D" w:rsidRPr="00CF14D5" w:rsidRDefault="0023730D" w:rsidP="00CF14D5">
      <w:pPr>
        <w:jc w:val="both"/>
        <w:rPr>
          <w:rFonts w:ascii="Calibri" w:hAnsi="Calibri" w:cs="Calibri"/>
          <w:sz w:val="22"/>
          <w:szCs w:val="22"/>
          <w:lang w:val="es-AR"/>
        </w:rPr>
      </w:pPr>
    </w:p>
    <w:p w14:paraId="188AC1D2" w14:textId="4BFA2243" w:rsidR="0023730D" w:rsidRPr="00CF14D5" w:rsidRDefault="0023730D" w:rsidP="006B23BD">
      <w:pPr>
        <w:pStyle w:val="Paragraphedeliste"/>
        <w:jc w:val="both"/>
        <w:rPr>
          <w:rFonts w:ascii="Calibri" w:hAnsi="Calibri" w:cs="Calibri"/>
          <w:sz w:val="22"/>
          <w:szCs w:val="22"/>
          <w:lang w:val="es-AR"/>
        </w:rPr>
      </w:pPr>
      <w:r w:rsidRPr="00CF14D5">
        <w:rPr>
          <w:rFonts w:ascii="Calibri" w:hAnsi="Calibri" w:cs="Calibri"/>
          <w:sz w:val="22"/>
          <w:szCs w:val="22"/>
          <w:lang w:val="es-AR"/>
        </w:rPr>
        <w:t xml:space="preserve">“Memento fiscal” de Francis </w:t>
      </w:r>
      <w:r w:rsidR="00086A37" w:rsidRPr="00CF14D5">
        <w:rPr>
          <w:rFonts w:ascii="Calibri" w:hAnsi="Calibri" w:cs="Calibri"/>
          <w:sz w:val="22"/>
          <w:szCs w:val="22"/>
          <w:lang w:val="es-AR"/>
        </w:rPr>
        <w:t>Lefebvre</w:t>
      </w:r>
      <w:r w:rsidRPr="00CF14D5">
        <w:rPr>
          <w:rFonts w:ascii="Calibri" w:hAnsi="Calibri" w:cs="Calibri"/>
          <w:sz w:val="22"/>
          <w:szCs w:val="22"/>
          <w:lang w:val="es-AR"/>
        </w:rPr>
        <w:t>, ed 2022.</w:t>
      </w:r>
    </w:p>
    <w:p w14:paraId="5D5DBAEC" w14:textId="77777777" w:rsidR="0023730D" w:rsidRPr="00A63F52" w:rsidRDefault="0023730D" w:rsidP="00ED3ED1">
      <w:pPr>
        <w:jc w:val="both"/>
        <w:rPr>
          <w:rFonts w:ascii="Calibri" w:hAnsi="Calibri" w:cs="Calibri"/>
          <w:sz w:val="22"/>
          <w:szCs w:val="22"/>
          <w:lang w:val="es-AR"/>
        </w:rPr>
      </w:pPr>
    </w:p>
    <w:p w14:paraId="1880E273" w14:textId="2EB62078" w:rsidR="00494ACB" w:rsidRPr="00A63F52" w:rsidRDefault="00494ACB" w:rsidP="00ED3ED1">
      <w:pPr>
        <w:jc w:val="both"/>
        <w:rPr>
          <w:rFonts w:ascii="Calibri" w:hAnsi="Calibri" w:cs="Calibri"/>
          <w:sz w:val="22"/>
          <w:szCs w:val="22"/>
          <w:lang w:val="es-AR"/>
        </w:rPr>
      </w:pPr>
    </w:p>
    <w:sectPr w:rsidR="00494ACB" w:rsidRPr="00A63F52" w:rsidSect="00C8079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26E9" w14:textId="77777777" w:rsidR="00E85FC6" w:rsidRDefault="00E85FC6" w:rsidP="00C9056E">
      <w:pPr>
        <w:spacing w:after="0" w:line="240" w:lineRule="auto"/>
      </w:pPr>
      <w:r>
        <w:separator/>
      </w:r>
    </w:p>
  </w:endnote>
  <w:endnote w:type="continuationSeparator" w:id="0">
    <w:p w14:paraId="6A6A015C" w14:textId="77777777" w:rsidR="00E85FC6" w:rsidRDefault="00E85FC6" w:rsidP="00C9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9516" w14:textId="365ADE26" w:rsidR="00B3154E" w:rsidRDefault="00B3154E" w:rsidP="003870EE">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B70F" w14:textId="77777777" w:rsidR="00E85FC6" w:rsidRDefault="00E85FC6" w:rsidP="00C9056E">
      <w:pPr>
        <w:spacing w:after="0" w:line="240" w:lineRule="auto"/>
      </w:pPr>
      <w:r>
        <w:separator/>
      </w:r>
    </w:p>
  </w:footnote>
  <w:footnote w:type="continuationSeparator" w:id="0">
    <w:p w14:paraId="001AACC4" w14:textId="77777777" w:rsidR="00E85FC6" w:rsidRDefault="00E85FC6" w:rsidP="00C9056E">
      <w:pPr>
        <w:spacing w:after="0" w:line="240" w:lineRule="auto"/>
      </w:pPr>
      <w:r>
        <w:continuationSeparator/>
      </w:r>
    </w:p>
  </w:footnote>
  <w:footnote w:id="1">
    <w:p w14:paraId="10FD016D" w14:textId="7BA095B8" w:rsidR="00602C94" w:rsidRPr="00F16C86" w:rsidRDefault="00602C94" w:rsidP="00975200">
      <w:pPr>
        <w:pStyle w:val="Notedebasdepage"/>
        <w:jc w:val="both"/>
        <w:rPr>
          <w:sz w:val="18"/>
          <w:szCs w:val="18"/>
          <w:lang w:val="es-AR"/>
        </w:rPr>
      </w:pPr>
      <w:r w:rsidRPr="00D519D8">
        <w:rPr>
          <w:rStyle w:val="Appelnotedebasdep"/>
          <w:lang w:val="es-AR"/>
        </w:rPr>
        <w:footnoteRef/>
      </w:r>
      <w:r w:rsidRPr="00D519D8">
        <w:rPr>
          <w:lang w:val="es-AR"/>
        </w:rPr>
        <w:t xml:space="preserve"> </w:t>
      </w:r>
      <w:r w:rsidRPr="00F16C86">
        <w:rPr>
          <w:sz w:val="18"/>
          <w:szCs w:val="18"/>
          <w:lang w:val="es-AR"/>
        </w:rPr>
        <w:t>Informe de ADAN y KPMG: "Crypto in France</w:t>
      </w:r>
      <w:r w:rsidR="00975200" w:rsidRPr="00F16C86">
        <w:rPr>
          <w:sz w:val="18"/>
          <w:szCs w:val="18"/>
          <w:lang w:val="es-AR"/>
        </w:rPr>
        <w:t xml:space="preserve">: </w:t>
      </w:r>
      <w:r w:rsidR="00F66925" w:rsidRPr="00F16C86">
        <w:rPr>
          <w:sz w:val="18"/>
          <w:szCs w:val="18"/>
          <w:lang w:val="es-AR"/>
        </w:rPr>
        <w:t>«Estructuración</w:t>
      </w:r>
      <w:r w:rsidRPr="00F16C86">
        <w:rPr>
          <w:sz w:val="18"/>
          <w:szCs w:val="18"/>
          <w:lang w:val="es-AR"/>
        </w:rPr>
        <w:t xml:space="preserve"> del sector y adopción por el público en general", febrero de 2022. </w:t>
      </w:r>
    </w:p>
    <w:p w14:paraId="5429609F" w14:textId="7879DCFD" w:rsidR="00975200" w:rsidRPr="00F16C86" w:rsidRDefault="00602C94" w:rsidP="00975200">
      <w:pPr>
        <w:pStyle w:val="Notedebasdepage"/>
        <w:jc w:val="both"/>
        <w:rPr>
          <w:sz w:val="18"/>
          <w:szCs w:val="18"/>
          <w:lang w:val="es-AR"/>
        </w:rPr>
      </w:pPr>
      <w:r w:rsidRPr="00F16C86">
        <w:rPr>
          <w:sz w:val="18"/>
          <w:szCs w:val="18"/>
          <w:lang w:val="es-AR"/>
        </w:rPr>
        <w:t>ADAN: Asociación para el Desarrollo de Activos Digitales. Asociación creada en enero de 2020.</w:t>
      </w:r>
    </w:p>
  </w:footnote>
  <w:footnote w:id="2">
    <w:p w14:paraId="0173C3C6" w14:textId="0F19139F" w:rsidR="00975200" w:rsidRPr="00F16C86" w:rsidRDefault="00975200" w:rsidP="00975200">
      <w:pPr>
        <w:pStyle w:val="Notedebasdepage"/>
        <w:jc w:val="both"/>
        <w:rPr>
          <w:sz w:val="18"/>
          <w:szCs w:val="18"/>
          <w:lang w:val="es-AR"/>
        </w:rPr>
      </w:pPr>
      <w:r w:rsidRPr="00F16C86">
        <w:rPr>
          <w:rStyle w:val="Appelnotedebasdep"/>
          <w:sz w:val="18"/>
          <w:szCs w:val="18"/>
          <w:lang w:val="es-AR"/>
        </w:rPr>
        <w:footnoteRef/>
      </w:r>
      <w:r w:rsidRPr="00F16C86">
        <w:rPr>
          <w:sz w:val="18"/>
          <w:szCs w:val="18"/>
          <w:lang w:val="es-AR"/>
        </w:rPr>
        <w:t xml:space="preserve"> En el apéndice de este artículo se presenta un cuadro representativo del ecosistema francés.</w:t>
      </w:r>
    </w:p>
  </w:footnote>
  <w:footnote w:id="3">
    <w:p w14:paraId="60667B6E" w14:textId="13A9E9C5" w:rsidR="002828AF" w:rsidRPr="00F16C86" w:rsidRDefault="00CC3972">
      <w:pPr>
        <w:pStyle w:val="Notedebasdepage"/>
        <w:rPr>
          <w:sz w:val="18"/>
          <w:szCs w:val="18"/>
          <w:lang w:val="es-AR"/>
        </w:rPr>
      </w:pPr>
      <w:r w:rsidRPr="00D519D8">
        <w:rPr>
          <w:rStyle w:val="Appelnotedebasdep"/>
          <w:lang w:val="es-AR"/>
        </w:rPr>
        <w:footnoteRef/>
      </w:r>
      <w:r w:rsidRPr="00D519D8">
        <w:rPr>
          <w:lang w:val="es-AR"/>
        </w:rPr>
        <w:t xml:space="preserve"> </w:t>
      </w:r>
      <w:r w:rsidR="00B26731" w:rsidRPr="00F16C86">
        <w:rPr>
          <w:sz w:val="18"/>
          <w:szCs w:val="18"/>
          <w:lang w:val="es-AR"/>
        </w:rPr>
        <w:t>ANC:</w:t>
      </w:r>
      <w:r w:rsidRPr="00F16C86">
        <w:rPr>
          <w:sz w:val="18"/>
          <w:szCs w:val="18"/>
          <w:lang w:val="es-AR"/>
        </w:rPr>
        <w:t xml:space="preserve"> Autoridad Contable Francesa</w:t>
      </w:r>
    </w:p>
  </w:footnote>
  <w:footnote w:id="4">
    <w:p w14:paraId="7026CD8B" w14:textId="67ED3F7F" w:rsidR="002828AF" w:rsidRPr="00F16C86" w:rsidRDefault="00D31CB9">
      <w:pPr>
        <w:pStyle w:val="Notedebasdepage"/>
        <w:rPr>
          <w:sz w:val="18"/>
          <w:szCs w:val="18"/>
          <w:lang w:val="fr-FR"/>
        </w:rPr>
      </w:pPr>
      <w:r w:rsidRPr="00F16C86">
        <w:rPr>
          <w:rStyle w:val="Appelnotedebasdep"/>
          <w:sz w:val="18"/>
          <w:szCs w:val="18"/>
        </w:rPr>
        <w:footnoteRef/>
      </w:r>
      <w:r w:rsidRPr="00F16C86">
        <w:rPr>
          <w:sz w:val="18"/>
          <w:szCs w:val="18"/>
        </w:rPr>
        <w:t xml:space="preserve"> </w:t>
      </w:r>
      <w:r w:rsidRPr="00F16C86">
        <w:rPr>
          <w:sz w:val="18"/>
          <w:szCs w:val="18"/>
          <w:lang w:val="fr-FR"/>
        </w:rPr>
        <w:t>Ley Pacte de 2019.</w:t>
      </w:r>
    </w:p>
  </w:footnote>
  <w:footnote w:id="5">
    <w:p w14:paraId="6FFDD66F" w14:textId="69580D86" w:rsidR="00CC3972" w:rsidRPr="00F16C86" w:rsidRDefault="00CC3972">
      <w:pPr>
        <w:pStyle w:val="Notedebasdepage"/>
        <w:rPr>
          <w:sz w:val="18"/>
          <w:szCs w:val="18"/>
          <w:lang w:val="es-AR"/>
        </w:rPr>
      </w:pPr>
      <w:r w:rsidRPr="00F16C86">
        <w:rPr>
          <w:rStyle w:val="Appelnotedebasdep"/>
          <w:sz w:val="18"/>
          <w:szCs w:val="18"/>
          <w:lang w:val="es-AR"/>
        </w:rPr>
        <w:footnoteRef/>
      </w:r>
      <w:r w:rsidRPr="00F16C86">
        <w:rPr>
          <w:sz w:val="18"/>
          <w:szCs w:val="18"/>
          <w:lang w:val="es-AR"/>
        </w:rPr>
        <w:t xml:space="preserve"> Art 619-4 du </w:t>
      </w:r>
      <w:r w:rsidR="00AA39E8" w:rsidRPr="00F16C86">
        <w:rPr>
          <w:sz w:val="18"/>
          <w:szCs w:val="18"/>
          <w:lang w:val="es-AR"/>
        </w:rPr>
        <w:t>«Plan</w:t>
      </w:r>
      <w:r w:rsidRPr="00F16C86">
        <w:rPr>
          <w:sz w:val="18"/>
          <w:szCs w:val="18"/>
          <w:lang w:val="es-AR"/>
        </w:rPr>
        <w:t xml:space="preserve"> Comptable Général » (</w:t>
      </w:r>
      <w:r w:rsidR="00A30EBB" w:rsidRPr="00F16C86">
        <w:rPr>
          <w:sz w:val="18"/>
          <w:szCs w:val="18"/>
          <w:lang w:val="es-AR"/>
        </w:rPr>
        <w:t>Código</w:t>
      </w:r>
      <w:r w:rsidRPr="00F16C86">
        <w:rPr>
          <w:sz w:val="18"/>
          <w:szCs w:val="18"/>
          <w:lang w:val="es-AR"/>
        </w:rPr>
        <w:t xml:space="preserve"> contable)</w:t>
      </w:r>
    </w:p>
  </w:footnote>
  <w:footnote w:id="6">
    <w:p w14:paraId="587DF2DF" w14:textId="77777777" w:rsidR="006D6A16" w:rsidRPr="00F16C86" w:rsidRDefault="006D6A16" w:rsidP="006D6A16">
      <w:pPr>
        <w:pStyle w:val="Notedebasdepage"/>
        <w:rPr>
          <w:sz w:val="18"/>
          <w:szCs w:val="18"/>
          <w:lang w:val="es-AR"/>
        </w:rPr>
      </w:pPr>
      <w:r w:rsidRPr="00F16C86">
        <w:rPr>
          <w:rStyle w:val="Appelnotedebasdep"/>
          <w:sz w:val="18"/>
          <w:szCs w:val="18"/>
          <w:lang w:val="es-AR"/>
        </w:rPr>
        <w:footnoteRef/>
      </w:r>
      <w:r w:rsidRPr="00F16C86">
        <w:rPr>
          <w:sz w:val="18"/>
          <w:szCs w:val="18"/>
          <w:lang w:val="es-AR"/>
        </w:rPr>
        <w:t xml:space="preserve"> Asociación para el Desarrollo de Activos Digitales creada el 1 de enero de 2020. </w:t>
      </w:r>
    </w:p>
    <w:p w14:paraId="3EB6AFD6" w14:textId="317EA9A3" w:rsidR="006D6A16" w:rsidRPr="00F16C86" w:rsidRDefault="006D6A16" w:rsidP="006D6A16">
      <w:pPr>
        <w:pStyle w:val="Notedebasdepage"/>
        <w:rPr>
          <w:sz w:val="18"/>
          <w:szCs w:val="18"/>
          <w:lang w:val="es-AR"/>
        </w:rPr>
      </w:pPr>
      <w:r w:rsidRPr="00F16C86">
        <w:rPr>
          <w:sz w:val="18"/>
          <w:szCs w:val="18"/>
          <w:lang w:val="es-AR"/>
        </w:rPr>
        <w:t xml:space="preserve"> Esta asociación se define de la manera </w:t>
      </w:r>
      <w:r w:rsidR="007E5BE0" w:rsidRPr="00F16C86">
        <w:rPr>
          <w:sz w:val="18"/>
          <w:szCs w:val="18"/>
          <w:lang w:val="es-AR"/>
        </w:rPr>
        <w:t>siguiente:</w:t>
      </w:r>
      <w:r w:rsidRPr="00F16C86">
        <w:rPr>
          <w:sz w:val="18"/>
          <w:szCs w:val="18"/>
          <w:lang w:val="es-AR"/>
        </w:rPr>
        <w:t xml:space="preserve"> </w:t>
      </w:r>
      <w:r w:rsidR="00553F97" w:rsidRPr="00F16C86">
        <w:rPr>
          <w:sz w:val="18"/>
          <w:szCs w:val="18"/>
          <w:lang w:val="es-AR"/>
        </w:rPr>
        <w:t>«Adan</w:t>
      </w:r>
      <w:r w:rsidRPr="00F16C86">
        <w:rPr>
          <w:sz w:val="18"/>
          <w:szCs w:val="18"/>
          <w:lang w:val="es-AR"/>
        </w:rPr>
        <w:t xml:space="preserve"> representa a las empresas francesas del sector de los activos digitales y las tecnologías blockchain. Nuestra misión es promover el desarrollo de los </w:t>
      </w:r>
      <w:r w:rsidR="007E5BE0" w:rsidRPr="00F16C86">
        <w:rPr>
          <w:sz w:val="18"/>
          <w:szCs w:val="18"/>
          <w:lang w:val="es-AR"/>
        </w:rPr>
        <w:t>actores</w:t>
      </w:r>
      <w:r w:rsidRPr="00F16C86">
        <w:rPr>
          <w:sz w:val="18"/>
          <w:szCs w:val="18"/>
          <w:lang w:val="es-AR"/>
        </w:rPr>
        <w:t xml:space="preserve"> y del sector en Francia y en </w:t>
      </w:r>
      <w:r w:rsidR="007E5BE0" w:rsidRPr="00F16C86">
        <w:rPr>
          <w:sz w:val="18"/>
          <w:szCs w:val="18"/>
          <w:lang w:val="es-AR"/>
        </w:rPr>
        <w:t>Europa»</w:t>
      </w:r>
      <w:r w:rsidRPr="00F16C86">
        <w:rPr>
          <w:sz w:val="18"/>
          <w:szCs w:val="18"/>
          <w:lang w:val="es-AR"/>
        </w:rPr>
        <w:t xml:space="preserve">. </w:t>
      </w:r>
    </w:p>
    <w:p w14:paraId="01848807" w14:textId="77777777" w:rsidR="006D6A16" w:rsidRPr="00F16C86" w:rsidRDefault="006D6A16" w:rsidP="006D6A16">
      <w:pPr>
        <w:pStyle w:val="Notedebasdepage"/>
        <w:rPr>
          <w:sz w:val="18"/>
          <w:szCs w:val="18"/>
          <w:lang w:val="es-AR"/>
        </w:rPr>
      </w:pPr>
      <w:r w:rsidRPr="00F16C86">
        <w:rPr>
          <w:sz w:val="18"/>
          <w:szCs w:val="18"/>
          <w:lang w:val="es-AR"/>
        </w:rPr>
        <w:t>https://adan.eu/</w:t>
      </w:r>
    </w:p>
    <w:p w14:paraId="20CC2AA4" w14:textId="54631B81" w:rsidR="006D6A16" w:rsidRPr="00F16C86" w:rsidRDefault="006D6A16">
      <w:pPr>
        <w:pStyle w:val="Notedebasdepage"/>
        <w:rPr>
          <w:sz w:val="18"/>
          <w:szCs w:val="18"/>
          <w:lang w:val="es-AR"/>
        </w:rPr>
      </w:pPr>
    </w:p>
  </w:footnote>
  <w:footnote w:id="7">
    <w:p w14:paraId="3F080959" w14:textId="40179A65" w:rsidR="00200C34" w:rsidRPr="00F16C86" w:rsidRDefault="002C5650">
      <w:pPr>
        <w:pStyle w:val="Notedebasdepage"/>
        <w:rPr>
          <w:sz w:val="18"/>
          <w:szCs w:val="18"/>
          <w:lang w:val="es-AR"/>
        </w:rPr>
      </w:pPr>
      <w:r w:rsidRPr="00F16C86">
        <w:rPr>
          <w:rStyle w:val="Appelnotedebasdep"/>
          <w:sz w:val="18"/>
          <w:szCs w:val="18"/>
          <w:lang w:val="es-AR"/>
        </w:rPr>
        <w:footnoteRef/>
      </w:r>
      <w:r w:rsidR="00200C34" w:rsidRPr="00F16C86">
        <w:rPr>
          <w:sz w:val="18"/>
          <w:szCs w:val="18"/>
          <w:lang w:val="es-AR"/>
        </w:rPr>
        <w:t>«</w:t>
      </w:r>
      <w:r w:rsidRPr="00F16C86">
        <w:rPr>
          <w:sz w:val="18"/>
          <w:szCs w:val="18"/>
          <w:lang w:val="es-AR"/>
        </w:rPr>
        <w:t>Rapport : Monnaie, banques et finance : vers une nouvelle ère crypto », rapport du député de Paris Pierre Person du 10 juin 2022</w:t>
      </w:r>
      <w:r w:rsidR="00200C34" w:rsidRPr="00F16C86">
        <w:rPr>
          <w:sz w:val="18"/>
          <w:szCs w:val="18"/>
          <w:lang w:val="es-AR"/>
        </w:rPr>
        <w:t> »</w:t>
      </w:r>
      <w:r w:rsidRPr="00F16C86">
        <w:rPr>
          <w:sz w:val="18"/>
          <w:szCs w:val="18"/>
          <w:lang w:val="es-AR"/>
        </w:rPr>
        <w:t xml:space="preserve">. </w:t>
      </w:r>
    </w:p>
  </w:footnote>
  <w:footnote w:id="8">
    <w:p w14:paraId="70D047FE" w14:textId="1AB3F984" w:rsidR="002828AF" w:rsidRPr="00F16C86" w:rsidRDefault="002C5650">
      <w:pPr>
        <w:pStyle w:val="Notedebasdepage"/>
        <w:rPr>
          <w:sz w:val="18"/>
          <w:szCs w:val="18"/>
          <w:lang w:val="es-AR"/>
        </w:rPr>
      </w:pPr>
      <w:r w:rsidRPr="00F16C86">
        <w:rPr>
          <w:rStyle w:val="Appelnotedebasdep"/>
          <w:sz w:val="18"/>
          <w:szCs w:val="18"/>
          <w:lang w:val="es-AR"/>
        </w:rPr>
        <w:footnoteRef/>
      </w:r>
      <w:r w:rsidRPr="00F16C86">
        <w:rPr>
          <w:sz w:val="18"/>
          <w:szCs w:val="18"/>
          <w:lang w:val="es-AR"/>
        </w:rPr>
        <w:t xml:space="preserve"> Informe: Monnaie, banques et finance: vers une nouvelle ère crypto", informe de Pierre Person, diputado por París, 10 de junio de 2022</w:t>
      </w:r>
    </w:p>
  </w:footnote>
  <w:footnote w:id="9">
    <w:p w14:paraId="43467AC0" w14:textId="2E93230B" w:rsidR="006C312C" w:rsidRPr="00F16C86" w:rsidRDefault="006C312C">
      <w:pPr>
        <w:pStyle w:val="Notedebasdepage"/>
        <w:rPr>
          <w:sz w:val="18"/>
          <w:szCs w:val="18"/>
          <w:lang w:val="es-AR"/>
        </w:rPr>
      </w:pPr>
      <w:r w:rsidRPr="00F16C86">
        <w:rPr>
          <w:rStyle w:val="Appelnotedebasdep"/>
          <w:sz w:val="18"/>
          <w:szCs w:val="18"/>
        </w:rPr>
        <w:footnoteRef/>
      </w:r>
      <w:r w:rsidRPr="00F16C86">
        <w:rPr>
          <w:sz w:val="18"/>
          <w:szCs w:val="18"/>
        </w:rPr>
        <w:t xml:space="preserve"> </w:t>
      </w:r>
      <w:r w:rsidRPr="00F16C86">
        <w:rPr>
          <w:sz w:val="18"/>
          <w:szCs w:val="18"/>
          <w:lang w:val="fr-FR"/>
        </w:rPr>
        <w:t>Apport – Cession (</w:t>
      </w:r>
      <w:r w:rsidR="00674D43" w:rsidRPr="00F16C86">
        <w:rPr>
          <w:sz w:val="18"/>
          <w:szCs w:val="18"/>
          <w:lang w:val="fr-FR"/>
        </w:rPr>
        <w:t>« </w:t>
      </w:r>
      <w:r w:rsidRPr="00F16C86">
        <w:rPr>
          <w:sz w:val="18"/>
          <w:szCs w:val="18"/>
          <w:lang w:val="es-AR"/>
        </w:rPr>
        <w:t>Entrada- transferencia</w:t>
      </w:r>
      <w:r w:rsidR="00674D43" w:rsidRPr="00F16C86">
        <w:rPr>
          <w:sz w:val="18"/>
          <w:szCs w:val="18"/>
          <w:lang w:val="es-AR"/>
        </w:rPr>
        <w:t>”</w:t>
      </w:r>
      <w:r w:rsidRPr="00F16C86">
        <w:rPr>
          <w:sz w:val="18"/>
          <w:szCs w:val="18"/>
          <w:lang w:val="es-AR"/>
        </w:rPr>
        <w:t xml:space="preserve">) : es un dispositivo fiscal que permite bajo a ciertas condiciones ventajas en el pago del impuesto de </w:t>
      </w:r>
      <w:r w:rsidR="00794F13" w:rsidRPr="00F16C86">
        <w:rPr>
          <w:sz w:val="18"/>
          <w:szCs w:val="18"/>
          <w:lang w:val="es-AR"/>
        </w:rPr>
        <w:t>plusvalía</w:t>
      </w:r>
    </w:p>
    <w:p w14:paraId="196DDE43" w14:textId="77777777" w:rsidR="006C312C" w:rsidRPr="006C312C" w:rsidRDefault="006C312C">
      <w:pPr>
        <w:pStyle w:val="Notedebasdepage"/>
        <w:rPr>
          <w:lang w:val="fr-FR"/>
        </w:rPr>
      </w:pPr>
    </w:p>
  </w:footnote>
  <w:footnote w:id="10">
    <w:p w14:paraId="7F17CB7F" w14:textId="057CAAE0" w:rsidR="006359B2" w:rsidRPr="00F16C86" w:rsidRDefault="00191056">
      <w:pPr>
        <w:pStyle w:val="Notedebasdepage"/>
        <w:rPr>
          <w:sz w:val="18"/>
          <w:szCs w:val="18"/>
          <w:lang w:val="es-AR"/>
        </w:rPr>
      </w:pPr>
      <w:r w:rsidRPr="00D519D8">
        <w:rPr>
          <w:rStyle w:val="Appelnotedebasdep"/>
          <w:lang w:val="es-AR"/>
        </w:rPr>
        <w:footnoteRef/>
      </w:r>
      <w:r w:rsidRPr="00D519D8">
        <w:rPr>
          <w:lang w:val="es-AR"/>
        </w:rPr>
        <w:t xml:space="preserve"> </w:t>
      </w:r>
      <w:r w:rsidR="006359B2" w:rsidRPr="00F16C86">
        <w:rPr>
          <w:sz w:val="18"/>
          <w:szCs w:val="18"/>
          <w:lang w:val="es-AR"/>
        </w:rPr>
        <w:t>AMF : Autorité des Marchés Financiers. (CNMV : Comision Nacional de Mercados de valores).</w:t>
      </w:r>
    </w:p>
  </w:footnote>
  <w:footnote w:id="11">
    <w:p w14:paraId="11BF4EBD" w14:textId="107D7531" w:rsidR="006359B2" w:rsidRPr="00F16C86" w:rsidRDefault="006359B2" w:rsidP="006359B2">
      <w:pPr>
        <w:pStyle w:val="Notedebasdepage"/>
        <w:rPr>
          <w:sz w:val="18"/>
          <w:szCs w:val="18"/>
          <w:lang w:val="es-AR"/>
        </w:rPr>
      </w:pPr>
      <w:r w:rsidRPr="00F16C86">
        <w:rPr>
          <w:rStyle w:val="Appelnotedebasdep"/>
          <w:sz w:val="18"/>
          <w:szCs w:val="18"/>
          <w:lang w:val="es-AR"/>
        </w:rPr>
        <w:footnoteRef/>
      </w:r>
      <w:r w:rsidRPr="00F16C86">
        <w:rPr>
          <w:sz w:val="18"/>
          <w:szCs w:val="18"/>
          <w:lang w:val="es-AR"/>
        </w:rPr>
        <w:t xml:space="preserve"> « Lista blanca de los PSAN (Proveedores de Servicios de Activos Digitales) de Julio 2022</w:t>
      </w:r>
    </w:p>
    <w:p w14:paraId="0535550B" w14:textId="3A31043F" w:rsidR="006359B2" w:rsidRPr="00F16C86" w:rsidRDefault="00000000" w:rsidP="006359B2">
      <w:pPr>
        <w:pStyle w:val="Notedebasdepage"/>
        <w:rPr>
          <w:sz w:val="18"/>
          <w:szCs w:val="18"/>
          <w:u w:val="single"/>
          <w:lang w:val="es-AR"/>
        </w:rPr>
      </w:pPr>
      <w:hyperlink r:id="rId1" w:anchor="Liste_des_PSAN_enregistrs_auprs_de_lAMF" w:history="1">
        <w:r w:rsidR="006359B2" w:rsidRPr="00F16C86">
          <w:rPr>
            <w:rStyle w:val="Lienhypertexte"/>
            <w:color w:val="auto"/>
            <w:sz w:val="18"/>
            <w:szCs w:val="18"/>
            <w:lang w:val="es-AR"/>
          </w:rPr>
          <w:t>https://www.amf-france.org/fr/espace-professionnels/fintech/mes-relations-avec-lamf/obtenir-un-enregistrement-un-agrement-psan#Liste_des_PSAN_enregistrs_auprs_de_lAMF</w:t>
        </w:r>
      </w:hyperlink>
    </w:p>
  </w:footnote>
  <w:footnote w:id="12">
    <w:p w14:paraId="584A6B58" w14:textId="07EF247C" w:rsidR="000E16DF" w:rsidRPr="00F16C86" w:rsidRDefault="006359B2" w:rsidP="006359B2">
      <w:pPr>
        <w:pStyle w:val="Notedebasdepage"/>
        <w:rPr>
          <w:sz w:val="18"/>
          <w:szCs w:val="18"/>
          <w:lang w:val="es-AR"/>
        </w:rPr>
      </w:pPr>
      <w:r w:rsidRPr="00F16C86">
        <w:rPr>
          <w:rStyle w:val="Appelnotedebasdep"/>
          <w:sz w:val="18"/>
          <w:szCs w:val="18"/>
          <w:lang w:val="es-AR"/>
        </w:rPr>
        <w:footnoteRef/>
      </w:r>
      <w:r w:rsidRPr="00F16C86">
        <w:rPr>
          <w:sz w:val="18"/>
          <w:szCs w:val="18"/>
          <w:lang w:val="es-AR"/>
        </w:rPr>
        <w:t xml:space="preserve"> Lugh, su stablecoin del mismo nombre fue creada en colaboración con el banco Société Générale, la psan Coinhouse</w:t>
      </w:r>
    </w:p>
  </w:footnote>
  <w:footnote w:id="13">
    <w:p w14:paraId="6AFF2C60" w14:textId="7581999D" w:rsidR="000E16DF" w:rsidRPr="00F16C86" w:rsidRDefault="00D519D8">
      <w:pPr>
        <w:pStyle w:val="Notedebasdepage"/>
        <w:rPr>
          <w:sz w:val="18"/>
          <w:szCs w:val="18"/>
          <w:lang w:val="es-AR"/>
        </w:rPr>
      </w:pPr>
      <w:r w:rsidRPr="00F16C86">
        <w:rPr>
          <w:rStyle w:val="Appelnotedebasdep"/>
          <w:sz w:val="18"/>
          <w:szCs w:val="18"/>
          <w:lang w:val="es-AR"/>
        </w:rPr>
        <w:footnoteRef/>
      </w:r>
      <w:r w:rsidRPr="00F16C86">
        <w:rPr>
          <w:sz w:val="18"/>
          <w:szCs w:val="18"/>
          <w:lang w:val="es-AR"/>
        </w:rPr>
        <w:t xml:space="preserve"> Véase el artículo sobre «El impacto de las criptomonedas en la gestión del patrimonio » que escribí en 2021.</w:t>
      </w:r>
    </w:p>
  </w:footnote>
  <w:footnote w:id="14">
    <w:p w14:paraId="3C654CA4" w14:textId="031270E4" w:rsidR="000E16DF" w:rsidRPr="00F16C86" w:rsidRDefault="007A540B">
      <w:pPr>
        <w:pStyle w:val="Notedebasdepage"/>
        <w:rPr>
          <w:sz w:val="18"/>
          <w:szCs w:val="18"/>
        </w:rPr>
      </w:pPr>
      <w:r w:rsidRPr="00F16C86">
        <w:rPr>
          <w:rStyle w:val="Appelnotedebasdep"/>
          <w:sz w:val="18"/>
          <w:szCs w:val="18"/>
        </w:rPr>
        <w:footnoteRef/>
      </w:r>
      <w:r w:rsidRPr="00F16C86">
        <w:rPr>
          <w:sz w:val="18"/>
          <w:szCs w:val="18"/>
        </w:rPr>
        <w:t xml:space="preserve"> Informe de Pierre Person (op.cit)</w:t>
      </w:r>
    </w:p>
  </w:footnote>
  <w:footnote w:id="15">
    <w:p w14:paraId="6972E81E" w14:textId="31308AD9" w:rsidR="00CB2E24" w:rsidRPr="00F16C86" w:rsidRDefault="00CB2E24">
      <w:pPr>
        <w:pStyle w:val="Notedebasdepage"/>
        <w:rPr>
          <w:sz w:val="18"/>
          <w:szCs w:val="18"/>
          <w:lang w:val="es-AR"/>
        </w:rPr>
      </w:pPr>
      <w:r w:rsidRPr="00F16C86">
        <w:rPr>
          <w:rStyle w:val="Appelnotedebasdep"/>
          <w:sz w:val="18"/>
          <w:szCs w:val="18"/>
        </w:rPr>
        <w:footnoteRef/>
      </w:r>
      <w:r w:rsidRPr="00F16C86">
        <w:rPr>
          <w:sz w:val="18"/>
          <w:szCs w:val="18"/>
        </w:rPr>
        <w:t xml:space="preserve"> " Markets on Crypto-Assets". </w:t>
      </w:r>
      <w:r w:rsidRPr="00F16C86">
        <w:rPr>
          <w:sz w:val="18"/>
          <w:szCs w:val="18"/>
          <w:lang w:val="es-AR"/>
        </w:rPr>
        <w:t>Por ahora, el reglamento MiCA aún no ha sido adoptado.</w:t>
      </w:r>
    </w:p>
  </w:footnote>
  <w:footnote w:id="16">
    <w:p w14:paraId="2F41E6FE" w14:textId="3EB9266B" w:rsidR="00B97F2A" w:rsidRPr="00B97F2A" w:rsidRDefault="00B97F2A">
      <w:pPr>
        <w:pStyle w:val="Notedebasdepage"/>
        <w:rPr>
          <w:lang w:val="fr-FR"/>
        </w:rPr>
      </w:pPr>
      <w:r>
        <w:rPr>
          <w:rStyle w:val="Appelnotedebasdep"/>
        </w:rPr>
        <w:footnoteRef/>
      </w:r>
      <w:r>
        <w:t xml:space="preserve"> </w:t>
      </w:r>
      <w:r w:rsidRPr="00D16F85">
        <w:rPr>
          <w:lang w:val="es-AR"/>
        </w:rPr>
        <w:t>Informe de l’ADAN de febrero de 202</w:t>
      </w:r>
      <w:r>
        <w:rPr>
          <w:lang w:val="fr-FR"/>
        </w:rPr>
        <w:t>2</w:t>
      </w:r>
    </w:p>
  </w:footnote>
  <w:footnote w:id="17">
    <w:p w14:paraId="066495AA" w14:textId="77777777" w:rsidR="00D16F85" w:rsidRPr="00D16F85" w:rsidRDefault="00D16F85" w:rsidP="00D16F85">
      <w:pPr>
        <w:pStyle w:val="Notedebasdepage"/>
        <w:rPr>
          <w:lang w:val="fr-FR"/>
        </w:rPr>
      </w:pPr>
      <w:r>
        <w:rPr>
          <w:rStyle w:val="Appelnotedebasdep"/>
        </w:rPr>
        <w:footnoteRef/>
      </w:r>
      <w:r>
        <w:t xml:space="preserve"> </w:t>
      </w:r>
      <w:r>
        <w:rPr>
          <w:lang w:val="fr-FR"/>
        </w:rPr>
        <w:t xml:space="preserve">Op.cit </w:t>
      </w:r>
    </w:p>
  </w:footnote>
  <w:footnote w:id="18">
    <w:p w14:paraId="7081C626" w14:textId="0BF49B71" w:rsidR="00ED3ED1" w:rsidRPr="00ED3ED1" w:rsidRDefault="00ED3ED1">
      <w:pPr>
        <w:pStyle w:val="Notedebasdepage"/>
        <w:rPr>
          <w:lang w:val="fr-FR"/>
        </w:rPr>
      </w:pPr>
      <w:r>
        <w:rPr>
          <w:rStyle w:val="Appelnotedebasdep"/>
        </w:rPr>
        <w:footnoteRef/>
      </w:r>
      <w:r w:rsidR="00616B4E">
        <w:t xml:space="preserve"> Informe de l’ADAN op.cit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2904"/>
    <w:multiLevelType w:val="hybridMultilevel"/>
    <w:tmpl w:val="FF1217D2"/>
    <w:lvl w:ilvl="0" w:tplc="6B4811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F52679"/>
    <w:multiLevelType w:val="hybridMultilevel"/>
    <w:tmpl w:val="287C7B9E"/>
    <w:lvl w:ilvl="0" w:tplc="7DD2757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697AA7"/>
    <w:multiLevelType w:val="hybridMultilevel"/>
    <w:tmpl w:val="18C0DD7C"/>
    <w:lvl w:ilvl="0" w:tplc="74AC5928">
      <w:start w:val="1"/>
      <w:numFmt w:val="upperRoman"/>
      <w:lvlText w:val="%1."/>
      <w:lvlJc w:val="left"/>
      <w:pPr>
        <w:ind w:left="1080" w:hanging="720"/>
      </w:pPr>
      <w:rPr>
        <w:rFonts w:hint="default"/>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B2312C"/>
    <w:multiLevelType w:val="hybridMultilevel"/>
    <w:tmpl w:val="835008FA"/>
    <w:lvl w:ilvl="0" w:tplc="C94034A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3F29EE"/>
    <w:multiLevelType w:val="hybridMultilevel"/>
    <w:tmpl w:val="91BEC5F2"/>
    <w:lvl w:ilvl="0" w:tplc="040C0015">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910697"/>
    <w:multiLevelType w:val="hybridMultilevel"/>
    <w:tmpl w:val="E9226F5C"/>
    <w:lvl w:ilvl="0" w:tplc="9E3CE9AC">
      <w:start w:val="1"/>
      <w:numFmt w:val="upperLetter"/>
      <w:lvlText w:val="%1."/>
      <w:lvlJc w:val="left"/>
      <w:pPr>
        <w:ind w:left="786" w:hanging="42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4A204C"/>
    <w:multiLevelType w:val="hybridMultilevel"/>
    <w:tmpl w:val="1DA24494"/>
    <w:lvl w:ilvl="0" w:tplc="FBD271E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823862"/>
    <w:multiLevelType w:val="hybridMultilevel"/>
    <w:tmpl w:val="052475A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3F0FDF"/>
    <w:multiLevelType w:val="multilevel"/>
    <w:tmpl w:val="1AD4B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2E19F3"/>
    <w:multiLevelType w:val="hybridMultilevel"/>
    <w:tmpl w:val="27A4368A"/>
    <w:lvl w:ilvl="0" w:tplc="F32EB158">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AA97CE1"/>
    <w:multiLevelType w:val="hybridMultilevel"/>
    <w:tmpl w:val="DF8A3F5A"/>
    <w:lvl w:ilvl="0" w:tplc="05ACE0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EB06B1"/>
    <w:multiLevelType w:val="hybridMultilevel"/>
    <w:tmpl w:val="90CC4ED2"/>
    <w:lvl w:ilvl="0" w:tplc="C2862BC6">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8A04C0"/>
    <w:multiLevelType w:val="hybridMultilevel"/>
    <w:tmpl w:val="82383B24"/>
    <w:lvl w:ilvl="0" w:tplc="67F20D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CE13976"/>
    <w:multiLevelType w:val="hybridMultilevel"/>
    <w:tmpl w:val="0630DDD2"/>
    <w:lvl w:ilvl="0" w:tplc="54023E7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36D67E9"/>
    <w:multiLevelType w:val="hybridMultilevel"/>
    <w:tmpl w:val="B91A8E16"/>
    <w:lvl w:ilvl="0" w:tplc="6B0C1A70">
      <w:start w:val="1"/>
      <w:numFmt w:val="upperLetter"/>
      <w:lvlText w:val="%1."/>
      <w:lvlJc w:val="left"/>
      <w:pPr>
        <w:ind w:left="1211" w:hanging="360"/>
      </w:pPr>
      <w:rPr>
        <w:rFonts w:asciiTheme="majorHAnsi" w:hAnsiTheme="majorHAnsi" w:cstheme="majorBidi"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5" w15:restartNumberingAfterBreak="0">
    <w:nsid w:val="75A4697A"/>
    <w:multiLevelType w:val="hybridMultilevel"/>
    <w:tmpl w:val="5E681D8C"/>
    <w:lvl w:ilvl="0" w:tplc="727EF09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C929B7"/>
    <w:multiLevelType w:val="hybridMultilevel"/>
    <w:tmpl w:val="9B28F2AC"/>
    <w:lvl w:ilvl="0" w:tplc="B0E4CC7E">
      <w:start w:val="1"/>
      <w:numFmt w:val="upperRoman"/>
      <w:lvlText w:val="%1."/>
      <w:lvlJc w:val="left"/>
      <w:pPr>
        <w:ind w:left="2212" w:hanging="720"/>
      </w:pPr>
      <w:rPr>
        <w:rFonts w:hint="default"/>
      </w:rPr>
    </w:lvl>
    <w:lvl w:ilvl="1" w:tplc="040C0019" w:tentative="1">
      <w:start w:val="1"/>
      <w:numFmt w:val="lowerLetter"/>
      <w:lvlText w:val="%2."/>
      <w:lvlJc w:val="left"/>
      <w:pPr>
        <w:ind w:left="2572" w:hanging="360"/>
      </w:pPr>
    </w:lvl>
    <w:lvl w:ilvl="2" w:tplc="040C001B" w:tentative="1">
      <w:start w:val="1"/>
      <w:numFmt w:val="lowerRoman"/>
      <w:lvlText w:val="%3."/>
      <w:lvlJc w:val="right"/>
      <w:pPr>
        <w:ind w:left="3292" w:hanging="180"/>
      </w:pPr>
    </w:lvl>
    <w:lvl w:ilvl="3" w:tplc="040C000F" w:tentative="1">
      <w:start w:val="1"/>
      <w:numFmt w:val="decimal"/>
      <w:lvlText w:val="%4."/>
      <w:lvlJc w:val="left"/>
      <w:pPr>
        <w:ind w:left="4012" w:hanging="360"/>
      </w:pPr>
    </w:lvl>
    <w:lvl w:ilvl="4" w:tplc="040C0019" w:tentative="1">
      <w:start w:val="1"/>
      <w:numFmt w:val="lowerLetter"/>
      <w:lvlText w:val="%5."/>
      <w:lvlJc w:val="left"/>
      <w:pPr>
        <w:ind w:left="4732" w:hanging="360"/>
      </w:pPr>
    </w:lvl>
    <w:lvl w:ilvl="5" w:tplc="040C001B" w:tentative="1">
      <w:start w:val="1"/>
      <w:numFmt w:val="lowerRoman"/>
      <w:lvlText w:val="%6."/>
      <w:lvlJc w:val="right"/>
      <w:pPr>
        <w:ind w:left="5452" w:hanging="180"/>
      </w:pPr>
    </w:lvl>
    <w:lvl w:ilvl="6" w:tplc="040C000F" w:tentative="1">
      <w:start w:val="1"/>
      <w:numFmt w:val="decimal"/>
      <w:lvlText w:val="%7."/>
      <w:lvlJc w:val="left"/>
      <w:pPr>
        <w:ind w:left="6172" w:hanging="360"/>
      </w:pPr>
    </w:lvl>
    <w:lvl w:ilvl="7" w:tplc="040C0019" w:tentative="1">
      <w:start w:val="1"/>
      <w:numFmt w:val="lowerLetter"/>
      <w:lvlText w:val="%8."/>
      <w:lvlJc w:val="left"/>
      <w:pPr>
        <w:ind w:left="6892" w:hanging="360"/>
      </w:pPr>
    </w:lvl>
    <w:lvl w:ilvl="8" w:tplc="040C001B" w:tentative="1">
      <w:start w:val="1"/>
      <w:numFmt w:val="lowerRoman"/>
      <w:lvlText w:val="%9."/>
      <w:lvlJc w:val="right"/>
      <w:pPr>
        <w:ind w:left="7612" w:hanging="180"/>
      </w:pPr>
    </w:lvl>
  </w:abstractNum>
  <w:num w:numId="1" w16cid:durableId="936718669">
    <w:abstractNumId w:val="12"/>
  </w:num>
  <w:num w:numId="2" w16cid:durableId="1316422118">
    <w:abstractNumId w:val="1"/>
  </w:num>
  <w:num w:numId="3" w16cid:durableId="118761790">
    <w:abstractNumId w:val="8"/>
  </w:num>
  <w:num w:numId="4" w16cid:durableId="342823423">
    <w:abstractNumId w:val="6"/>
  </w:num>
  <w:num w:numId="5" w16cid:durableId="1296369320">
    <w:abstractNumId w:val="0"/>
  </w:num>
  <w:num w:numId="6" w16cid:durableId="782959214">
    <w:abstractNumId w:val="2"/>
  </w:num>
  <w:num w:numId="7" w16cid:durableId="125319074">
    <w:abstractNumId w:val="10"/>
  </w:num>
  <w:num w:numId="8" w16cid:durableId="244731147">
    <w:abstractNumId w:val="3"/>
  </w:num>
  <w:num w:numId="9" w16cid:durableId="279729563">
    <w:abstractNumId w:val="5"/>
  </w:num>
  <w:num w:numId="10" w16cid:durableId="532232877">
    <w:abstractNumId w:val="11"/>
  </w:num>
  <w:num w:numId="11" w16cid:durableId="816414288">
    <w:abstractNumId w:val="16"/>
  </w:num>
  <w:num w:numId="12" w16cid:durableId="1803428171">
    <w:abstractNumId w:val="15"/>
  </w:num>
  <w:num w:numId="13" w16cid:durableId="1108815257">
    <w:abstractNumId w:val="13"/>
  </w:num>
  <w:num w:numId="14" w16cid:durableId="625311011">
    <w:abstractNumId w:val="14"/>
  </w:num>
  <w:num w:numId="15" w16cid:durableId="357124202">
    <w:abstractNumId w:val="4"/>
  </w:num>
  <w:num w:numId="16" w16cid:durableId="79186127">
    <w:abstractNumId w:val="7"/>
  </w:num>
  <w:num w:numId="17" w16cid:durableId="687214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16"/>
    <w:rsid w:val="00025EF7"/>
    <w:rsid w:val="000431D9"/>
    <w:rsid w:val="00061374"/>
    <w:rsid w:val="00063543"/>
    <w:rsid w:val="00082D51"/>
    <w:rsid w:val="00086A37"/>
    <w:rsid w:val="000E16DF"/>
    <w:rsid w:val="000E1F7D"/>
    <w:rsid w:val="000E22B4"/>
    <w:rsid w:val="00130252"/>
    <w:rsid w:val="0013271C"/>
    <w:rsid w:val="00157EF5"/>
    <w:rsid w:val="00165316"/>
    <w:rsid w:val="00181A15"/>
    <w:rsid w:val="00191056"/>
    <w:rsid w:val="001C5632"/>
    <w:rsid w:val="00200C34"/>
    <w:rsid w:val="00226AA4"/>
    <w:rsid w:val="0023730D"/>
    <w:rsid w:val="0024341D"/>
    <w:rsid w:val="00250E92"/>
    <w:rsid w:val="002828AF"/>
    <w:rsid w:val="00282AB4"/>
    <w:rsid w:val="002C5650"/>
    <w:rsid w:val="002E72C1"/>
    <w:rsid w:val="002F2894"/>
    <w:rsid w:val="003369DA"/>
    <w:rsid w:val="00351436"/>
    <w:rsid w:val="00351739"/>
    <w:rsid w:val="003870EE"/>
    <w:rsid w:val="003D348D"/>
    <w:rsid w:val="003D6A08"/>
    <w:rsid w:val="003E5428"/>
    <w:rsid w:val="0041421D"/>
    <w:rsid w:val="00431D2B"/>
    <w:rsid w:val="00441499"/>
    <w:rsid w:val="00444F42"/>
    <w:rsid w:val="00447361"/>
    <w:rsid w:val="004634BC"/>
    <w:rsid w:val="00476503"/>
    <w:rsid w:val="0047652E"/>
    <w:rsid w:val="00477F8C"/>
    <w:rsid w:val="00494ACB"/>
    <w:rsid w:val="0050482F"/>
    <w:rsid w:val="005412F5"/>
    <w:rsid w:val="00553F97"/>
    <w:rsid w:val="00596856"/>
    <w:rsid w:val="005B5D7C"/>
    <w:rsid w:val="00602C94"/>
    <w:rsid w:val="0060517A"/>
    <w:rsid w:val="00616B4E"/>
    <w:rsid w:val="006200A8"/>
    <w:rsid w:val="006359B2"/>
    <w:rsid w:val="006467F9"/>
    <w:rsid w:val="006523C2"/>
    <w:rsid w:val="00674D43"/>
    <w:rsid w:val="006B23BD"/>
    <w:rsid w:val="006C312C"/>
    <w:rsid w:val="006D6A16"/>
    <w:rsid w:val="006D7D4E"/>
    <w:rsid w:val="006F0FAF"/>
    <w:rsid w:val="00736808"/>
    <w:rsid w:val="00794F13"/>
    <w:rsid w:val="007A540B"/>
    <w:rsid w:val="007C6BB1"/>
    <w:rsid w:val="007D5D5B"/>
    <w:rsid w:val="007E58D4"/>
    <w:rsid w:val="007E5BE0"/>
    <w:rsid w:val="007F3740"/>
    <w:rsid w:val="00811EF8"/>
    <w:rsid w:val="00814819"/>
    <w:rsid w:val="00842E3B"/>
    <w:rsid w:val="00877504"/>
    <w:rsid w:val="00931AD2"/>
    <w:rsid w:val="009447D0"/>
    <w:rsid w:val="00946BA5"/>
    <w:rsid w:val="00975200"/>
    <w:rsid w:val="00975F06"/>
    <w:rsid w:val="009B68CB"/>
    <w:rsid w:val="009E1611"/>
    <w:rsid w:val="00A01BC1"/>
    <w:rsid w:val="00A10E10"/>
    <w:rsid w:val="00A25001"/>
    <w:rsid w:val="00A30EBB"/>
    <w:rsid w:val="00A63F52"/>
    <w:rsid w:val="00AA39E8"/>
    <w:rsid w:val="00AD0F65"/>
    <w:rsid w:val="00AD2082"/>
    <w:rsid w:val="00AF3C9A"/>
    <w:rsid w:val="00B26731"/>
    <w:rsid w:val="00B3154E"/>
    <w:rsid w:val="00B72E36"/>
    <w:rsid w:val="00B96DB3"/>
    <w:rsid w:val="00B97F2A"/>
    <w:rsid w:val="00BA3C0C"/>
    <w:rsid w:val="00BB6816"/>
    <w:rsid w:val="00BD2DC7"/>
    <w:rsid w:val="00BD2EEF"/>
    <w:rsid w:val="00BD7CD6"/>
    <w:rsid w:val="00C11926"/>
    <w:rsid w:val="00C80791"/>
    <w:rsid w:val="00C826EB"/>
    <w:rsid w:val="00C9056E"/>
    <w:rsid w:val="00C91C58"/>
    <w:rsid w:val="00CB2E24"/>
    <w:rsid w:val="00CC3972"/>
    <w:rsid w:val="00CD1095"/>
    <w:rsid w:val="00CE4F5A"/>
    <w:rsid w:val="00CF14D5"/>
    <w:rsid w:val="00CF48E1"/>
    <w:rsid w:val="00D15B01"/>
    <w:rsid w:val="00D16F85"/>
    <w:rsid w:val="00D200CC"/>
    <w:rsid w:val="00D31CB9"/>
    <w:rsid w:val="00D519D8"/>
    <w:rsid w:val="00D76E13"/>
    <w:rsid w:val="00D8232E"/>
    <w:rsid w:val="00D82441"/>
    <w:rsid w:val="00D850E0"/>
    <w:rsid w:val="00D8547D"/>
    <w:rsid w:val="00D973E7"/>
    <w:rsid w:val="00DC4901"/>
    <w:rsid w:val="00DF01FC"/>
    <w:rsid w:val="00E013D7"/>
    <w:rsid w:val="00E1688F"/>
    <w:rsid w:val="00E32F23"/>
    <w:rsid w:val="00E4317D"/>
    <w:rsid w:val="00E5469B"/>
    <w:rsid w:val="00E61D9D"/>
    <w:rsid w:val="00E679FB"/>
    <w:rsid w:val="00E71E00"/>
    <w:rsid w:val="00E85FC6"/>
    <w:rsid w:val="00EA0BB3"/>
    <w:rsid w:val="00EA6D18"/>
    <w:rsid w:val="00ED3ED1"/>
    <w:rsid w:val="00EE7804"/>
    <w:rsid w:val="00EF6BA6"/>
    <w:rsid w:val="00F05BBF"/>
    <w:rsid w:val="00F068AF"/>
    <w:rsid w:val="00F11281"/>
    <w:rsid w:val="00F16C86"/>
    <w:rsid w:val="00F379AE"/>
    <w:rsid w:val="00F44F74"/>
    <w:rsid w:val="00F66925"/>
    <w:rsid w:val="00F84D24"/>
    <w:rsid w:val="00FE2889"/>
    <w:rsid w:val="00FF3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4D52D"/>
  <w15:chartTrackingRefBased/>
  <w15:docId w15:val="{EDEDB786-1D7A-4B00-BEAE-1C413112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41D"/>
  </w:style>
  <w:style w:type="paragraph" w:styleId="Titre1">
    <w:name w:val="heading 1"/>
    <w:basedOn w:val="Normal"/>
    <w:next w:val="Normal"/>
    <w:link w:val="Titre1Car"/>
    <w:uiPriority w:val="9"/>
    <w:qFormat/>
    <w:rsid w:val="0024341D"/>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Titre2">
    <w:name w:val="heading 2"/>
    <w:basedOn w:val="Normal"/>
    <w:next w:val="Normal"/>
    <w:link w:val="Titre2Car"/>
    <w:uiPriority w:val="9"/>
    <w:unhideWhenUsed/>
    <w:qFormat/>
    <w:rsid w:val="0024341D"/>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Titre3">
    <w:name w:val="heading 3"/>
    <w:basedOn w:val="Normal"/>
    <w:next w:val="Normal"/>
    <w:link w:val="Titre3Car"/>
    <w:uiPriority w:val="9"/>
    <w:unhideWhenUsed/>
    <w:qFormat/>
    <w:rsid w:val="0024341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24341D"/>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24341D"/>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24341D"/>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24341D"/>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24341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24341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6816"/>
    <w:pPr>
      <w:ind w:left="720"/>
      <w:contextualSpacing/>
    </w:pPr>
  </w:style>
  <w:style w:type="table" w:styleId="Grilledutableau">
    <w:name w:val="Table Grid"/>
    <w:basedOn w:val="TableauNormal"/>
    <w:uiPriority w:val="39"/>
    <w:rsid w:val="00C9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C9056E"/>
    <w:pPr>
      <w:spacing w:after="0" w:line="240" w:lineRule="auto"/>
    </w:pPr>
    <w:rPr>
      <w:rFonts w:ascii="Arial" w:eastAsia="Arial" w:hAnsi="Arial" w:cs="Arial"/>
      <w:sz w:val="20"/>
      <w:szCs w:val="20"/>
      <w:lang w:val="fr" w:eastAsia="fr-FR"/>
    </w:rPr>
  </w:style>
  <w:style w:type="character" w:customStyle="1" w:styleId="NotedebasdepageCar">
    <w:name w:val="Note de bas de page Car"/>
    <w:basedOn w:val="Policepardfaut"/>
    <w:link w:val="Notedebasdepage"/>
    <w:uiPriority w:val="99"/>
    <w:rsid w:val="00C9056E"/>
    <w:rPr>
      <w:rFonts w:ascii="Arial" w:eastAsia="Arial" w:hAnsi="Arial" w:cs="Arial"/>
      <w:sz w:val="20"/>
      <w:szCs w:val="20"/>
      <w:lang w:val="fr" w:eastAsia="fr-FR"/>
    </w:rPr>
  </w:style>
  <w:style w:type="character" w:styleId="Appelnotedebasdep">
    <w:name w:val="footnote reference"/>
    <w:basedOn w:val="Policepardfaut"/>
    <w:uiPriority w:val="99"/>
    <w:semiHidden/>
    <w:unhideWhenUsed/>
    <w:rsid w:val="00C9056E"/>
    <w:rPr>
      <w:vertAlign w:val="superscript"/>
    </w:rPr>
  </w:style>
  <w:style w:type="character" w:styleId="Lienhypertexte">
    <w:name w:val="Hyperlink"/>
    <w:basedOn w:val="Policepardfaut"/>
    <w:uiPriority w:val="99"/>
    <w:unhideWhenUsed/>
    <w:rsid w:val="00BD2EEF"/>
    <w:rPr>
      <w:color w:val="0000FF"/>
      <w:u w:val="single"/>
    </w:rPr>
  </w:style>
  <w:style w:type="character" w:styleId="Mentionnonrsolue">
    <w:name w:val="Unresolved Mention"/>
    <w:basedOn w:val="Policepardfaut"/>
    <w:uiPriority w:val="99"/>
    <w:semiHidden/>
    <w:unhideWhenUsed/>
    <w:rsid w:val="00D76E13"/>
    <w:rPr>
      <w:color w:val="605E5C"/>
      <w:shd w:val="clear" w:color="auto" w:fill="E1DFDD"/>
    </w:rPr>
  </w:style>
  <w:style w:type="character" w:customStyle="1" w:styleId="Titre1Car">
    <w:name w:val="Titre 1 Car"/>
    <w:basedOn w:val="Policepardfaut"/>
    <w:link w:val="Titre1"/>
    <w:uiPriority w:val="9"/>
    <w:rsid w:val="0024341D"/>
    <w:rPr>
      <w:rFonts w:asciiTheme="majorHAnsi" w:eastAsiaTheme="majorEastAsia" w:hAnsiTheme="majorHAnsi" w:cstheme="majorBidi"/>
      <w:color w:val="2F5496" w:themeColor="accent1" w:themeShade="BF"/>
      <w:sz w:val="36"/>
      <w:szCs w:val="36"/>
    </w:rPr>
  </w:style>
  <w:style w:type="character" w:customStyle="1" w:styleId="Titre2Car">
    <w:name w:val="Titre 2 Car"/>
    <w:basedOn w:val="Policepardfaut"/>
    <w:link w:val="Titre2"/>
    <w:uiPriority w:val="9"/>
    <w:rsid w:val="0024341D"/>
    <w:rPr>
      <w:rFonts w:asciiTheme="majorHAnsi" w:eastAsiaTheme="majorEastAsia" w:hAnsiTheme="majorHAnsi" w:cstheme="majorBidi"/>
      <w:color w:val="2F5496" w:themeColor="accent1" w:themeShade="BF"/>
      <w:sz w:val="28"/>
      <w:szCs w:val="28"/>
    </w:rPr>
  </w:style>
  <w:style w:type="character" w:customStyle="1" w:styleId="Titre3Car">
    <w:name w:val="Titre 3 Car"/>
    <w:basedOn w:val="Policepardfaut"/>
    <w:link w:val="Titre3"/>
    <w:uiPriority w:val="9"/>
    <w:rsid w:val="0024341D"/>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24341D"/>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24341D"/>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24341D"/>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24341D"/>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24341D"/>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24341D"/>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24341D"/>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24341D"/>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reCar">
    <w:name w:val="Titre Car"/>
    <w:basedOn w:val="Policepardfaut"/>
    <w:link w:val="Titre"/>
    <w:uiPriority w:val="10"/>
    <w:rsid w:val="0024341D"/>
    <w:rPr>
      <w:rFonts w:asciiTheme="majorHAnsi" w:eastAsiaTheme="majorEastAsia" w:hAnsiTheme="majorHAnsi" w:cstheme="majorBidi"/>
      <w:color w:val="2F5496" w:themeColor="accent1" w:themeShade="BF"/>
      <w:spacing w:val="-7"/>
      <w:sz w:val="80"/>
      <w:szCs w:val="80"/>
    </w:rPr>
  </w:style>
  <w:style w:type="paragraph" w:styleId="Sous-titre">
    <w:name w:val="Subtitle"/>
    <w:basedOn w:val="Normal"/>
    <w:next w:val="Normal"/>
    <w:link w:val="Sous-titreCar"/>
    <w:uiPriority w:val="11"/>
    <w:qFormat/>
    <w:rsid w:val="0024341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24341D"/>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24341D"/>
    <w:rPr>
      <w:b/>
      <w:bCs/>
    </w:rPr>
  </w:style>
  <w:style w:type="character" w:styleId="Accentuation">
    <w:name w:val="Emphasis"/>
    <w:basedOn w:val="Policepardfaut"/>
    <w:uiPriority w:val="20"/>
    <w:qFormat/>
    <w:rsid w:val="0024341D"/>
    <w:rPr>
      <w:i/>
      <w:iCs/>
    </w:rPr>
  </w:style>
  <w:style w:type="paragraph" w:styleId="Sansinterligne">
    <w:name w:val="No Spacing"/>
    <w:uiPriority w:val="1"/>
    <w:qFormat/>
    <w:rsid w:val="0024341D"/>
    <w:pPr>
      <w:spacing w:after="0" w:line="240" w:lineRule="auto"/>
    </w:pPr>
  </w:style>
  <w:style w:type="paragraph" w:styleId="Citation">
    <w:name w:val="Quote"/>
    <w:basedOn w:val="Normal"/>
    <w:next w:val="Normal"/>
    <w:link w:val="CitationCar"/>
    <w:uiPriority w:val="29"/>
    <w:qFormat/>
    <w:rsid w:val="0024341D"/>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24341D"/>
    <w:rPr>
      <w:i/>
      <w:iCs/>
    </w:rPr>
  </w:style>
  <w:style w:type="paragraph" w:styleId="Citationintense">
    <w:name w:val="Intense Quote"/>
    <w:basedOn w:val="Normal"/>
    <w:next w:val="Normal"/>
    <w:link w:val="CitationintenseCar"/>
    <w:uiPriority w:val="30"/>
    <w:qFormat/>
    <w:rsid w:val="0024341D"/>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tionintenseCar">
    <w:name w:val="Citation intense Car"/>
    <w:basedOn w:val="Policepardfaut"/>
    <w:link w:val="Citationintense"/>
    <w:uiPriority w:val="30"/>
    <w:rsid w:val="0024341D"/>
    <w:rPr>
      <w:rFonts w:asciiTheme="majorHAnsi" w:eastAsiaTheme="majorEastAsia" w:hAnsiTheme="majorHAnsi" w:cstheme="majorBidi"/>
      <w:color w:val="4472C4" w:themeColor="accent1"/>
      <w:sz w:val="28"/>
      <w:szCs w:val="28"/>
    </w:rPr>
  </w:style>
  <w:style w:type="character" w:styleId="Accentuationlgre">
    <w:name w:val="Subtle Emphasis"/>
    <w:basedOn w:val="Policepardfaut"/>
    <w:uiPriority w:val="19"/>
    <w:qFormat/>
    <w:rsid w:val="0024341D"/>
    <w:rPr>
      <w:i/>
      <w:iCs/>
      <w:color w:val="595959" w:themeColor="text1" w:themeTint="A6"/>
    </w:rPr>
  </w:style>
  <w:style w:type="character" w:styleId="Accentuationintense">
    <w:name w:val="Intense Emphasis"/>
    <w:basedOn w:val="Policepardfaut"/>
    <w:uiPriority w:val="21"/>
    <w:qFormat/>
    <w:rsid w:val="0024341D"/>
    <w:rPr>
      <w:b/>
      <w:bCs/>
      <w:i/>
      <w:iCs/>
    </w:rPr>
  </w:style>
  <w:style w:type="character" w:styleId="Rfrencelgre">
    <w:name w:val="Subtle Reference"/>
    <w:basedOn w:val="Policepardfaut"/>
    <w:uiPriority w:val="31"/>
    <w:qFormat/>
    <w:rsid w:val="0024341D"/>
    <w:rPr>
      <w:smallCaps/>
      <w:color w:val="404040" w:themeColor="text1" w:themeTint="BF"/>
    </w:rPr>
  </w:style>
  <w:style w:type="character" w:styleId="Rfrenceintense">
    <w:name w:val="Intense Reference"/>
    <w:basedOn w:val="Policepardfaut"/>
    <w:uiPriority w:val="32"/>
    <w:qFormat/>
    <w:rsid w:val="0024341D"/>
    <w:rPr>
      <w:b/>
      <w:bCs/>
      <w:smallCaps/>
      <w:u w:val="single"/>
    </w:rPr>
  </w:style>
  <w:style w:type="character" w:styleId="Titredulivre">
    <w:name w:val="Book Title"/>
    <w:basedOn w:val="Policepardfaut"/>
    <w:uiPriority w:val="33"/>
    <w:qFormat/>
    <w:rsid w:val="0024341D"/>
    <w:rPr>
      <w:b/>
      <w:bCs/>
      <w:smallCaps/>
    </w:rPr>
  </w:style>
  <w:style w:type="paragraph" w:styleId="En-ttedetabledesmatires">
    <w:name w:val="TOC Heading"/>
    <w:basedOn w:val="Titre1"/>
    <w:next w:val="Normal"/>
    <w:uiPriority w:val="39"/>
    <w:unhideWhenUsed/>
    <w:qFormat/>
    <w:rsid w:val="0024341D"/>
    <w:pPr>
      <w:outlineLvl w:val="9"/>
    </w:pPr>
  </w:style>
  <w:style w:type="paragraph" w:styleId="En-tte">
    <w:name w:val="header"/>
    <w:basedOn w:val="Normal"/>
    <w:link w:val="En-tteCar"/>
    <w:uiPriority w:val="99"/>
    <w:unhideWhenUsed/>
    <w:rsid w:val="00B3154E"/>
    <w:pPr>
      <w:tabs>
        <w:tab w:val="center" w:pos="4536"/>
        <w:tab w:val="right" w:pos="9072"/>
      </w:tabs>
      <w:spacing w:after="0" w:line="240" w:lineRule="auto"/>
    </w:pPr>
  </w:style>
  <w:style w:type="character" w:customStyle="1" w:styleId="En-tteCar">
    <w:name w:val="En-tête Car"/>
    <w:basedOn w:val="Policepardfaut"/>
    <w:link w:val="En-tte"/>
    <w:uiPriority w:val="99"/>
    <w:rsid w:val="00B3154E"/>
  </w:style>
  <w:style w:type="paragraph" w:styleId="Pieddepage">
    <w:name w:val="footer"/>
    <w:basedOn w:val="Normal"/>
    <w:link w:val="PieddepageCar"/>
    <w:uiPriority w:val="99"/>
    <w:unhideWhenUsed/>
    <w:rsid w:val="00B315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54E"/>
  </w:style>
  <w:style w:type="paragraph" w:styleId="Notedefin">
    <w:name w:val="endnote text"/>
    <w:basedOn w:val="Normal"/>
    <w:link w:val="NotedefinCar"/>
    <w:uiPriority w:val="99"/>
    <w:unhideWhenUsed/>
    <w:rsid w:val="0041421D"/>
    <w:pPr>
      <w:spacing w:after="0" w:line="240" w:lineRule="auto"/>
    </w:pPr>
    <w:rPr>
      <w:rFonts w:eastAsiaTheme="minorHAnsi"/>
      <w:sz w:val="20"/>
      <w:szCs w:val="20"/>
    </w:rPr>
  </w:style>
  <w:style w:type="character" w:customStyle="1" w:styleId="NotedefinCar">
    <w:name w:val="Note de fin Car"/>
    <w:basedOn w:val="Policepardfaut"/>
    <w:link w:val="Notedefin"/>
    <w:uiPriority w:val="99"/>
    <w:rsid w:val="0041421D"/>
    <w:rPr>
      <w:rFonts w:eastAsiaTheme="minorHAnsi"/>
      <w:sz w:val="20"/>
      <w:szCs w:val="20"/>
    </w:rPr>
  </w:style>
  <w:style w:type="paragraph" w:styleId="TM3">
    <w:name w:val="toc 3"/>
    <w:basedOn w:val="Normal"/>
    <w:next w:val="Normal"/>
    <w:autoRedefine/>
    <w:uiPriority w:val="39"/>
    <w:unhideWhenUsed/>
    <w:rsid w:val="0024341D"/>
    <w:pPr>
      <w:spacing w:after="100"/>
      <w:ind w:left="420"/>
    </w:pPr>
  </w:style>
  <w:style w:type="paragraph" w:styleId="TM1">
    <w:name w:val="toc 1"/>
    <w:basedOn w:val="Normal"/>
    <w:next w:val="Normal"/>
    <w:autoRedefine/>
    <w:uiPriority w:val="39"/>
    <w:unhideWhenUsed/>
    <w:rsid w:val="00431D2B"/>
    <w:pPr>
      <w:spacing w:after="100"/>
    </w:pPr>
  </w:style>
  <w:style w:type="paragraph" w:styleId="TM2">
    <w:name w:val="toc 2"/>
    <w:basedOn w:val="Normal"/>
    <w:next w:val="Normal"/>
    <w:autoRedefine/>
    <w:uiPriority w:val="39"/>
    <w:unhideWhenUsed/>
    <w:rsid w:val="00431D2B"/>
    <w:pPr>
      <w:spacing w:after="100"/>
      <w:ind w:left="210"/>
    </w:pPr>
  </w:style>
  <w:style w:type="character" w:styleId="Lienhypertextesuivivisit">
    <w:name w:val="FollowedHyperlink"/>
    <w:basedOn w:val="Policepardfaut"/>
    <w:uiPriority w:val="99"/>
    <w:semiHidden/>
    <w:unhideWhenUsed/>
    <w:rsid w:val="000E2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4598">
      <w:bodyDiv w:val="1"/>
      <w:marLeft w:val="0"/>
      <w:marRight w:val="0"/>
      <w:marTop w:val="0"/>
      <w:marBottom w:val="0"/>
      <w:divBdr>
        <w:top w:val="none" w:sz="0" w:space="0" w:color="auto"/>
        <w:left w:val="none" w:sz="0" w:space="0" w:color="auto"/>
        <w:bottom w:val="none" w:sz="0" w:space="0" w:color="auto"/>
        <w:right w:val="none" w:sz="0" w:space="0" w:color="auto"/>
      </w:divBdr>
      <w:divsChild>
        <w:div w:id="640039440">
          <w:marLeft w:val="0"/>
          <w:marRight w:val="0"/>
          <w:marTop w:val="0"/>
          <w:marBottom w:val="0"/>
          <w:divBdr>
            <w:top w:val="single" w:sz="6" w:space="0" w:color="006494"/>
            <w:left w:val="single" w:sz="6" w:space="0" w:color="006494"/>
            <w:bottom w:val="single" w:sz="6" w:space="0" w:color="006494"/>
            <w:right w:val="single" w:sz="6" w:space="0" w:color="006494"/>
          </w:divBdr>
          <w:divsChild>
            <w:div w:id="160898599">
              <w:marLeft w:val="0"/>
              <w:marRight w:val="0"/>
              <w:marTop w:val="0"/>
              <w:marBottom w:val="0"/>
              <w:divBdr>
                <w:top w:val="single" w:sz="2" w:space="0" w:color="auto"/>
                <w:left w:val="single" w:sz="2" w:space="0" w:color="auto"/>
                <w:bottom w:val="single" w:sz="2" w:space="0" w:color="auto"/>
                <w:right w:val="single" w:sz="2" w:space="0" w:color="auto"/>
              </w:divBdr>
              <w:divsChild>
                <w:div w:id="842628238">
                  <w:marLeft w:val="0"/>
                  <w:marRight w:val="0"/>
                  <w:marTop w:val="0"/>
                  <w:marBottom w:val="0"/>
                  <w:divBdr>
                    <w:top w:val="none" w:sz="0" w:space="0" w:color="auto"/>
                    <w:left w:val="none" w:sz="0" w:space="0" w:color="auto"/>
                    <w:bottom w:val="none" w:sz="0" w:space="0" w:color="auto"/>
                    <w:right w:val="none" w:sz="0" w:space="0" w:color="auto"/>
                  </w:divBdr>
                </w:div>
                <w:div w:id="2112435491">
                  <w:marLeft w:val="0"/>
                  <w:marRight w:val="0"/>
                  <w:marTop w:val="0"/>
                  <w:marBottom w:val="0"/>
                  <w:divBdr>
                    <w:top w:val="single" w:sz="2" w:space="0" w:color="auto"/>
                    <w:left w:val="single" w:sz="2" w:space="0" w:color="auto"/>
                    <w:bottom w:val="single" w:sz="2" w:space="0" w:color="auto"/>
                    <w:right w:val="single" w:sz="2" w:space="0" w:color="auto"/>
                  </w:divBdr>
                </w:div>
              </w:divsChild>
            </w:div>
            <w:div w:id="1160973017">
              <w:marLeft w:val="0"/>
              <w:marRight w:val="0"/>
              <w:marTop w:val="0"/>
              <w:marBottom w:val="0"/>
              <w:divBdr>
                <w:top w:val="single" w:sz="2" w:space="0" w:color="auto"/>
                <w:left w:val="single" w:sz="2" w:space="0" w:color="auto"/>
                <w:bottom w:val="single" w:sz="2" w:space="0" w:color="auto"/>
                <w:right w:val="single" w:sz="2" w:space="0" w:color="auto"/>
              </w:divBdr>
              <w:divsChild>
                <w:div w:id="974141909">
                  <w:marLeft w:val="0"/>
                  <w:marRight w:val="0"/>
                  <w:marTop w:val="0"/>
                  <w:marBottom w:val="0"/>
                  <w:divBdr>
                    <w:top w:val="single" w:sz="6" w:space="4" w:color="auto"/>
                    <w:left w:val="single" w:sz="2" w:space="21" w:color="auto"/>
                    <w:bottom w:val="single" w:sz="2" w:space="4" w:color="auto"/>
                    <w:right w:val="single" w:sz="2" w:space="18" w:color="auto"/>
                  </w:divBdr>
                  <w:divsChild>
                    <w:div w:id="14056878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co/bbokWfpcB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mf-france.org/fr/espace-professionnels/fintech/mes-relations-avec-lamf/obtenir-un-enregistrement-un-agrement-psa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48FBD-34C6-46E5-8F44-20845336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2847</Words>
  <Characters>15663</Characters>
  <Application>Microsoft Office Word</Application>
  <DocSecurity>0</DocSecurity>
  <Lines>130</Lines>
  <Paragraphs>36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Criptomonedas en Francia : Situacion actual</vt:lpstr>
      <vt:lpstr>Criptomonedas en Francia : Situacion actual</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Criptomonedas en Francia : Situacion actual</dc:title>
  <dc:subject/>
  <dc:creator>IRENE MEONI</dc:creator>
  <cp:keywords/>
  <dc:description/>
  <cp:lastModifiedBy>IRENE MEONI</cp:lastModifiedBy>
  <cp:revision>14</cp:revision>
  <dcterms:created xsi:type="dcterms:W3CDTF">2022-10-03T09:15:00Z</dcterms:created>
  <dcterms:modified xsi:type="dcterms:W3CDTF">2022-10-03T10:17:00Z</dcterms:modified>
</cp:coreProperties>
</file>