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F6" w:rsidRDefault="007211A5">
      <w:pPr>
        <w:spacing w:before="200"/>
        <w:ind w:left="280" w:right="180"/>
        <w:jc w:val="center"/>
        <w:rPr>
          <w:rFonts w:ascii="Arial" w:eastAsia="Arial" w:hAnsi="Arial" w:cs="Arial"/>
          <w:b/>
          <w:sz w:val="28"/>
          <w:szCs w:val="28"/>
        </w:rPr>
      </w:pPr>
      <w:r>
        <w:rPr>
          <w:rFonts w:ascii="Arial" w:eastAsia="Arial" w:hAnsi="Arial" w:cs="Arial"/>
          <w:b/>
          <w:sz w:val="28"/>
          <w:szCs w:val="28"/>
        </w:rPr>
        <w:t>17º SIMPOSIO REGIONAL DE INVESTIGACIÓN CONTABLE</w:t>
      </w:r>
    </w:p>
    <w:p w:rsidR="002938F6" w:rsidRDefault="007211A5">
      <w:pPr>
        <w:spacing w:before="240" w:after="240"/>
        <w:rPr>
          <w:rFonts w:ascii="Arial" w:eastAsia="Arial" w:hAnsi="Arial" w:cs="Arial"/>
          <w:b/>
          <w:sz w:val="30"/>
          <w:szCs w:val="30"/>
        </w:rPr>
      </w:pPr>
      <w:r>
        <w:rPr>
          <w:rFonts w:ascii="Arial" w:eastAsia="Arial" w:hAnsi="Arial" w:cs="Arial"/>
          <w:b/>
          <w:sz w:val="30"/>
          <w:szCs w:val="30"/>
        </w:rPr>
        <w:t xml:space="preserve"> </w:t>
      </w:r>
    </w:p>
    <w:p w:rsidR="002938F6" w:rsidRDefault="007211A5">
      <w:pPr>
        <w:spacing w:before="240" w:after="240"/>
        <w:rPr>
          <w:rFonts w:ascii="Arial" w:eastAsia="Arial" w:hAnsi="Arial" w:cs="Arial"/>
          <w:b/>
          <w:sz w:val="30"/>
          <w:szCs w:val="30"/>
        </w:rPr>
      </w:pPr>
      <w:r>
        <w:rPr>
          <w:rFonts w:ascii="Arial" w:eastAsia="Arial" w:hAnsi="Arial" w:cs="Arial"/>
          <w:b/>
          <w:sz w:val="30"/>
          <w:szCs w:val="30"/>
        </w:rPr>
        <w:t xml:space="preserve">  </w:t>
      </w:r>
    </w:p>
    <w:p w:rsidR="002938F6" w:rsidRDefault="007211A5">
      <w:pPr>
        <w:ind w:left="280" w:right="180"/>
        <w:jc w:val="center"/>
        <w:rPr>
          <w:rFonts w:ascii="Arial" w:eastAsia="Arial" w:hAnsi="Arial" w:cs="Arial"/>
          <w:b/>
          <w:sz w:val="28"/>
          <w:szCs w:val="28"/>
        </w:rPr>
      </w:pPr>
      <w:r>
        <w:rPr>
          <w:rFonts w:ascii="Arial" w:eastAsia="Arial" w:hAnsi="Arial" w:cs="Arial"/>
          <w:b/>
          <w:sz w:val="28"/>
          <w:szCs w:val="28"/>
        </w:rPr>
        <w:t xml:space="preserve">Temario elegido: Tecnologías de la Información y </w:t>
      </w:r>
      <w:proofErr w:type="spellStart"/>
      <w:r>
        <w:rPr>
          <w:rFonts w:ascii="Arial" w:eastAsia="Arial" w:hAnsi="Arial" w:cs="Arial"/>
          <w:b/>
          <w:sz w:val="28"/>
          <w:szCs w:val="28"/>
        </w:rPr>
        <w:t>Blockchain</w:t>
      </w:r>
      <w:proofErr w:type="spellEnd"/>
    </w:p>
    <w:p w:rsidR="002938F6" w:rsidRDefault="007211A5">
      <w:pPr>
        <w:spacing w:before="240" w:after="240"/>
        <w:rPr>
          <w:rFonts w:ascii="Arial" w:eastAsia="Arial" w:hAnsi="Arial" w:cs="Arial"/>
          <w:b/>
          <w:sz w:val="30"/>
          <w:szCs w:val="30"/>
        </w:rPr>
      </w:pPr>
      <w:r>
        <w:rPr>
          <w:rFonts w:ascii="Arial" w:eastAsia="Arial" w:hAnsi="Arial" w:cs="Arial"/>
          <w:b/>
          <w:sz w:val="30"/>
          <w:szCs w:val="30"/>
        </w:rPr>
        <w:t xml:space="preserve"> </w:t>
      </w:r>
    </w:p>
    <w:p w:rsidR="002938F6" w:rsidRDefault="007211A5">
      <w:pPr>
        <w:spacing w:before="240" w:after="240"/>
        <w:rPr>
          <w:rFonts w:ascii="Arial" w:eastAsia="Arial" w:hAnsi="Arial" w:cs="Arial"/>
          <w:b/>
          <w:sz w:val="30"/>
          <w:szCs w:val="30"/>
        </w:rPr>
      </w:pPr>
      <w:r>
        <w:rPr>
          <w:rFonts w:ascii="Arial" w:eastAsia="Arial" w:hAnsi="Arial" w:cs="Arial"/>
          <w:b/>
          <w:sz w:val="30"/>
          <w:szCs w:val="30"/>
        </w:rPr>
        <w:t xml:space="preserve"> </w:t>
      </w:r>
    </w:p>
    <w:p w:rsidR="002938F6" w:rsidRDefault="007211A5">
      <w:pPr>
        <w:spacing w:before="240" w:after="240"/>
        <w:rPr>
          <w:rFonts w:ascii="Arial" w:eastAsia="Arial" w:hAnsi="Arial" w:cs="Arial"/>
          <w:b/>
          <w:sz w:val="26"/>
          <w:szCs w:val="26"/>
        </w:rPr>
      </w:pPr>
      <w:r>
        <w:rPr>
          <w:rFonts w:ascii="Arial" w:eastAsia="Arial" w:hAnsi="Arial" w:cs="Arial"/>
          <w:b/>
          <w:sz w:val="30"/>
          <w:szCs w:val="30"/>
        </w:rPr>
        <w:t xml:space="preserve"> </w:t>
      </w:r>
      <w:r>
        <w:rPr>
          <w:rFonts w:ascii="Arial" w:eastAsia="Arial" w:hAnsi="Arial" w:cs="Arial"/>
          <w:b/>
          <w:sz w:val="26"/>
          <w:szCs w:val="26"/>
        </w:rPr>
        <w:t xml:space="preserve"> </w:t>
      </w:r>
    </w:p>
    <w:p w:rsidR="002938F6" w:rsidRDefault="007211A5">
      <w:pPr>
        <w:ind w:left="280" w:right="180"/>
        <w:jc w:val="center"/>
        <w:rPr>
          <w:rFonts w:ascii="Arial" w:eastAsia="Arial" w:hAnsi="Arial" w:cs="Arial"/>
          <w:b/>
          <w:sz w:val="30"/>
          <w:szCs w:val="30"/>
        </w:rPr>
      </w:pPr>
      <w:r>
        <w:rPr>
          <w:rFonts w:ascii="Arial" w:eastAsia="Arial" w:hAnsi="Arial" w:cs="Arial"/>
          <w:b/>
          <w:sz w:val="28"/>
          <w:szCs w:val="28"/>
        </w:rPr>
        <w:t>RESULTADOS DE CRIPTOACTIVOS: ANÁLISIS DEL TRATAMIENTO CONTABLE</w:t>
      </w:r>
    </w:p>
    <w:p w:rsidR="002938F6" w:rsidRDefault="007211A5">
      <w:pPr>
        <w:spacing w:before="240" w:after="240"/>
        <w:rPr>
          <w:rFonts w:ascii="Arial" w:eastAsia="Arial" w:hAnsi="Arial" w:cs="Arial"/>
          <w:b/>
          <w:sz w:val="30"/>
          <w:szCs w:val="30"/>
        </w:rPr>
      </w:pPr>
      <w:r>
        <w:rPr>
          <w:rFonts w:ascii="Arial" w:eastAsia="Arial" w:hAnsi="Arial" w:cs="Arial"/>
          <w:b/>
          <w:sz w:val="30"/>
          <w:szCs w:val="30"/>
        </w:rPr>
        <w:t xml:space="preserve"> </w:t>
      </w:r>
    </w:p>
    <w:p w:rsidR="002938F6" w:rsidRDefault="007211A5">
      <w:pPr>
        <w:spacing w:after="240"/>
        <w:rPr>
          <w:rFonts w:ascii="Arial" w:eastAsia="Arial" w:hAnsi="Arial" w:cs="Arial"/>
          <w:b/>
          <w:sz w:val="26"/>
          <w:szCs w:val="26"/>
        </w:rPr>
      </w:pPr>
      <w:r>
        <w:rPr>
          <w:rFonts w:ascii="Arial" w:eastAsia="Arial" w:hAnsi="Arial" w:cs="Arial"/>
          <w:b/>
          <w:sz w:val="26"/>
          <w:szCs w:val="26"/>
        </w:rPr>
        <w:t xml:space="preserve"> </w:t>
      </w:r>
    </w:p>
    <w:p w:rsidR="002938F6" w:rsidRDefault="007211A5">
      <w:pPr>
        <w:ind w:left="280" w:right="180"/>
        <w:jc w:val="center"/>
        <w:rPr>
          <w:rFonts w:ascii="Arial" w:eastAsia="Arial" w:hAnsi="Arial" w:cs="Arial"/>
          <w:b/>
          <w:sz w:val="28"/>
          <w:szCs w:val="28"/>
        </w:rPr>
      </w:pPr>
      <w:r>
        <w:rPr>
          <w:rFonts w:ascii="Arial" w:eastAsia="Arial" w:hAnsi="Arial" w:cs="Arial"/>
          <w:b/>
          <w:sz w:val="28"/>
          <w:szCs w:val="28"/>
        </w:rPr>
        <w:t>Autores</w:t>
      </w:r>
    </w:p>
    <w:p w:rsidR="002938F6" w:rsidRDefault="007211A5">
      <w:pPr>
        <w:spacing w:before="240"/>
        <w:ind w:left="280" w:right="180"/>
        <w:jc w:val="both"/>
        <w:rPr>
          <w:rFonts w:ascii="Arial" w:eastAsia="Arial" w:hAnsi="Arial" w:cs="Arial"/>
          <w:b/>
          <w:sz w:val="28"/>
          <w:szCs w:val="28"/>
        </w:rPr>
      </w:pPr>
      <w:r>
        <w:rPr>
          <w:rFonts w:ascii="Arial" w:eastAsia="Arial" w:hAnsi="Arial" w:cs="Arial"/>
          <w:b/>
          <w:sz w:val="28"/>
          <w:szCs w:val="28"/>
        </w:rPr>
        <w:t>Gilabert, Manuel – Universidad Argentina de la       Empresa (UADE)</w:t>
      </w:r>
    </w:p>
    <w:p w:rsidR="002938F6" w:rsidRDefault="007211A5">
      <w:pPr>
        <w:spacing w:before="240"/>
        <w:ind w:left="280" w:right="180"/>
        <w:jc w:val="both"/>
        <w:rPr>
          <w:rFonts w:ascii="Arial" w:eastAsia="Arial" w:hAnsi="Arial" w:cs="Arial"/>
          <w:b/>
          <w:sz w:val="28"/>
          <w:szCs w:val="28"/>
        </w:rPr>
      </w:pPr>
      <w:proofErr w:type="spellStart"/>
      <w:r>
        <w:rPr>
          <w:rFonts w:ascii="Arial" w:eastAsia="Arial" w:hAnsi="Arial" w:cs="Arial"/>
          <w:b/>
          <w:sz w:val="28"/>
          <w:szCs w:val="28"/>
        </w:rPr>
        <w:t>Martinez</w:t>
      </w:r>
      <w:proofErr w:type="spellEnd"/>
      <w:r>
        <w:rPr>
          <w:rFonts w:ascii="Arial" w:eastAsia="Arial" w:hAnsi="Arial" w:cs="Arial"/>
          <w:b/>
          <w:sz w:val="28"/>
          <w:szCs w:val="28"/>
        </w:rPr>
        <w:t xml:space="preserve"> </w:t>
      </w:r>
      <w:proofErr w:type="spellStart"/>
      <w:r>
        <w:rPr>
          <w:rFonts w:ascii="Arial" w:eastAsia="Arial" w:hAnsi="Arial" w:cs="Arial"/>
          <w:b/>
          <w:sz w:val="28"/>
          <w:szCs w:val="28"/>
        </w:rPr>
        <w:t>Cataldi</w:t>
      </w:r>
      <w:proofErr w:type="spellEnd"/>
      <w:r>
        <w:rPr>
          <w:rFonts w:ascii="Arial" w:eastAsia="Arial" w:hAnsi="Arial" w:cs="Arial"/>
          <w:b/>
          <w:sz w:val="28"/>
          <w:szCs w:val="28"/>
        </w:rPr>
        <w:t>, Juan Francisco – Universidad  Argentina de la Empresa (UADE)</w:t>
      </w:r>
    </w:p>
    <w:p w:rsidR="002938F6" w:rsidRDefault="007211A5">
      <w:pPr>
        <w:spacing w:before="240"/>
        <w:ind w:left="280" w:right="180"/>
        <w:jc w:val="both"/>
        <w:rPr>
          <w:rFonts w:ascii="Arial" w:eastAsia="Arial" w:hAnsi="Arial" w:cs="Arial"/>
          <w:b/>
          <w:sz w:val="28"/>
          <w:szCs w:val="28"/>
        </w:rPr>
      </w:pPr>
      <w:proofErr w:type="spellStart"/>
      <w:r>
        <w:rPr>
          <w:rFonts w:ascii="Arial" w:eastAsia="Arial" w:hAnsi="Arial" w:cs="Arial"/>
          <w:b/>
          <w:sz w:val="28"/>
          <w:szCs w:val="28"/>
        </w:rPr>
        <w:t>Martinez</w:t>
      </w:r>
      <w:proofErr w:type="spellEnd"/>
      <w:r>
        <w:rPr>
          <w:rFonts w:ascii="Arial" w:eastAsia="Arial" w:hAnsi="Arial" w:cs="Arial"/>
          <w:b/>
          <w:sz w:val="28"/>
          <w:szCs w:val="28"/>
        </w:rPr>
        <w:t xml:space="preserve"> </w:t>
      </w:r>
      <w:proofErr w:type="spellStart"/>
      <w:r>
        <w:rPr>
          <w:rFonts w:ascii="Arial" w:eastAsia="Arial" w:hAnsi="Arial" w:cs="Arial"/>
          <w:b/>
          <w:sz w:val="28"/>
          <w:szCs w:val="28"/>
        </w:rPr>
        <w:t>Cataldi</w:t>
      </w:r>
      <w:proofErr w:type="spellEnd"/>
      <w:r>
        <w:rPr>
          <w:rFonts w:ascii="Arial" w:eastAsia="Arial" w:hAnsi="Arial" w:cs="Arial"/>
          <w:b/>
          <w:sz w:val="28"/>
          <w:szCs w:val="28"/>
        </w:rPr>
        <w:t>, Mercedes – Universidad Argentina de la Empresa (UADE)</w:t>
      </w:r>
    </w:p>
    <w:p w:rsidR="002938F6" w:rsidRDefault="007211A5">
      <w:pPr>
        <w:spacing w:before="240"/>
        <w:ind w:left="280" w:right="180"/>
        <w:jc w:val="both"/>
        <w:rPr>
          <w:rFonts w:ascii="Arial" w:eastAsia="Arial" w:hAnsi="Arial" w:cs="Arial"/>
          <w:b/>
          <w:sz w:val="28"/>
          <w:szCs w:val="28"/>
        </w:rPr>
      </w:pPr>
      <w:r>
        <w:rPr>
          <w:rFonts w:ascii="Arial" w:eastAsia="Arial" w:hAnsi="Arial" w:cs="Arial"/>
          <w:b/>
          <w:sz w:val="28"/>
          <w:szCs w:val="28"/>
        </w:rPr>
        <w:t xml:space="preserve">Acosta, </w:t>
      </w:r>
      <w:proofErr w:type="spellStart"/>
      <w:r>
        <w:rPr>
          <w:rFonts w:ascii="Arial" w:eastAsia="Arial" w:hAnsi="Arial" w:cs="Arial"/>
          <w:b/>
          <w:sz w:val="28"/>
          <w:szCs w:val="28"/>
        </w:rPr>
        <w:t>Yanina</w:t>
      </w:r>
      <w:proofErr w:type="spellEnd"/>
      <w:r>
        <w:rPr>
          <w:rFonts w:ascii="Arial" w:eastAsia="Arial" w:hAnsi="Arial" w:cs="Arial"/>
          <w:b/>
          <w:sz w:val="28"/>
          <w:szCs w:val="28"/>
        </w:rPr>
        <w:t xml:space="preserve"> </w:t>
      </w:r>
      <w:proofErr w:type="spellStart"/>
      <w:r>
        <w:rPr>
          <w:rFonts w:ascii="Arial" w:eastAsia="Arial" w:hAnsi="Arial" w:cs="Arial"/>
          <w:b/>
          <w:sz w:val="28"/>
          <w:szCs w:val="28"/>
        </w:rPr>
        <w:t>Ailen</w:t>
      </w:r>
      <w:proofErr w:type="spellEnd"/>
      <w:r>
        <w:rPr>
          <w:rFonts w:ascii="Arial" w:eastAsia="Arial" w:hAnsi="Arial" w:cs="Arial"/>
          <w:b/>
          <w:sz w:val="28"/>
          <w:szCs w:val="28"/>
        </w:rPr>
        <w:t xml:space="preserve"> – Universidad Argentina de la Empresa (UADE)</w:t>
      </w:r>
    </w:p>
    <w:p w:rsidR="002938F6" w:rsidRDefault="007211A5">
      <w:pPr>
        <w:spacing w:before="240" w:after="240"/>
        <w:rPr>
          <w:rFonts w:ascii="Arial" w:eastAsia="Arial" w:hAnsi="Arial" w:cs="Arial"/>
          <w:b/>
          <w:sz w:val="30"/>
          <w:szCs w:val="30"/>
        </w:rPr>
      </w:pPr>
      <w:r>
        <w:rPr>
          <w:rFonts w:ascii="Arial" w:eastAsia="Arial" w:hAnsi="Arial" w:cs="Arial"/>
          <w:b/>
          <w:sz w:val="30"/>
          <w:szCs w:val="30"/>
        </w:rPr>
        <w:t xml:space="preserve"> </w:t>
      </w:r>
    </w:p>
    <w:p w:rsidR="002938F6" w:rsidRDefault="007211A5">
      <w:pPr>
        <w:spacing w:before="240" w:after="240"/>
        <w:rPr>
          <w:rFonts w:ascii="Arial" w:eastAsia="Arial" w:hAnsi="Arial" w:cs="Arial"/>
          <w:b/>
          <w:sz w:val="26"/>
          <w:szCs w:val="26"/>
        </w:rPr>
      </w:pPr>
      <w:r>
        <w:rPr>
          <w:rFonts w:ascii="Arial" w:eastAsia="Arial" w:hAnsi="Arial" w:cs="Arial"/>
          <w:b/>
          <w:sz w:val="30"/>
          <w:szCs w:val="30"/>
        </w:rPr>
        <w:t xml:space="preserve"> </w:t>
      </w:r>
    </w:p>
    <w:p w:rsidR="002938F6" w:rsidRDefault="007211A5">
      <w:pPr>
        <w:ind w:left="280" w:right="180"/>
        <w:jc w:val="center"/>
        <w:rPr>
          <w:rFonts w:ascii="Arial" w:eastAsia="Arial" w:hAnsi="Arial" w:cs="Arial"/>
          <w:b/>
          <w:sz w:val="28"/>
          <w:szCs w:val="28"/>
        </w:rPr>
      </w:pPr>
      <w:r>
        <w:rPr>
          <w:rFonts w:ascii="Arial" w:eastAsia="Arial" w:hAnsi="Arial" w:cs="Arial"/>
          <w:b/>
          <w:sz w:val="28"/>
          <w:szCs w:val="28"/>
        </w:rPr>
        <w:t>Ciudad de Pinamar - Diciembre del 2021</w:t>
      </w:r>
    </w:p>
    <w:p w:rsidR="002938F6" w:rsidRDefault="002938F6">
      <w:pPr>
        <w:rPr>
          <w:rFonts w:ascii="Arial" w:eastAsia="Arial" w:hAnsi="Arial" w:cs="Arial"/>
          <w:b/>
          <w:sz w:val="28"/>
          <w:szCs w:val="28"/>
        </w:rPr>
      </w:pPr>
    </w:p>
    <w:p w:rsidR="002938F6" w:rsidRDefault="002938F6">
      <w:pPr>
        <w:rPr>
          <w:rFonts w:ascii="Calibri" w:eastAsia="Calibri" w:hAnsi="Calibri" w:cs="Calibri"/>
          <w:b/>
          <w:sz w:val="22"/>
          <w:szCs w:val="22"/>
        </w:rPr>
      </w:pPr>
    </w:p>
    <w:p w:rsidR="002938F6" w:rsidRDefault="007211A5">
      <w:pPr>
        <w:rPr>
          <w:rFonts w:ascii="Calibri" w:eastAsia="Calibri" w:hAnsi="Calibri" w:cs="Calibri"/>
          <w:b/>
          <w:sz w:val="22"/>
          <w:szCs w:val="22"/>
        </w:rPr>
      </w:pPr>
      <w:r>
        <w:br w:type="page"/>
      </w:r>
    </w:p>
    <w:p w:rsidR="00907F0A" w:rsidRPr="00907F0A" w:rsidRDefault="00907F0A" w:rsidP="00907F0A">
      <w:pPr>
        <w:jc w:val="center"/>
        <w:rPr>
          <w:rFonts w:ascii="Calibri" w:eastAsia="Calibri" w:hAnsi="Calibri" w:cs="Calibri"/>
          <w:b/>
          <w:sz w:val="22"/>
          <w:szCs w:val="22"/>
        </w:rPr>
      </w:pPr>
      <w:r w:rsidRPr="00907F0A">
        <w:rPr>
          <w:rFonts w:ascii="Calibri" w:eastAsia="Calibri" w:hAnsi="Calibri" w:cs="Calibri"/>
          <w:b/>
          <w:sz w:val="22"/>
          <w:szCs w:val="22"/>
        </w:rPr>
        <w:lastRenderedPageBreak/>
        <w:t>RESULTADOS DE CRIPTOACTIVOS: ANÁLISIS DEL TRATAMIENTO CONTABLE</w:t>
      </w:r>
    </w:p>
    <w:p w:rsidR="002938F6" w:rsidRDefault="002938F6">
      <w:pPr>
        <w:rPr>
          <w:rFonts w:ascii="Calibri" w:eastAsia="Calibri" w:hAnsi="Calibri" w:cs="Calibri"/>
          <w:b/>
          <w:sz w:val="22"/>
          <w:szCs w:val="22"/>
        </w:rPr>
      </w:pPr>
    </w:p>
    <w:p w:rsidR="00012452" w:rsidRDefault="00012452">
      <w:pPr>
        <w:rPr>
          <w:rFonts w:ascii="Calibri" w:eastAsia="Calibri" w:hAnsi="Calibri" w:cs="Calibri"/>
          <w:b/>
          <w:sz w:val="22"/>
          <w:szCs w:val="22"/>
        </w:rPr>
      </w:pPr>
      <w:bookmarkStart w:id="0" w:name="_GoBack"/>
      <w:bookmarkEnd w:id="0"/>
    </w:p>
    <w:p w:rsidR="00907F0A" w:rsidRDefault="00907F0A">
      <w:pPr>
        <w:rPr>
          <w:rFonts w:ascii="Calibri" w:eastAsia="Calibri" w:hAnsi="Calibri" w:cs="Calibri"/>
          <w:b/>
          <w:sz w:val="22"/>
          <w:szCs w:val="22"/>
        </w:rPr>
      </w:pPr>
    </w:p>
    <w:p w:rsidR="002938F6" w:rsidRDefault="007211A5">
      <w:pPr>
        <w:rPr>
          <w:rFonts w:ascii="Calibri" w:eastAsia="Calibri" w:hAnsi="Calibri" w:cs="Calibri"/>
          <w:b/>
          <w:sz w:val="22"/>
          <w:szCs w:val="22"/>
        </w:rPr>
      </w:pPr>
      <w:r>
        <w:rPr>
          <w:rFonts w:ascii="Calibri" w:eastAsia="Calibri" w:hAnsi="Calibri" w:cs="Calibri"/>
          <w:b/>
          <w:sz w:val="22"/>
          <w:szCs w:val="22"/>
        </w:rPr>
        <w:t>RESUMEN</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presente trabajo aborda el concepto de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y la cadena de bloques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desde un enfoque contable, tratando de resolver varios interrogantes y planteando nuevos.</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La revisión de literatura nos plantea aspectos no tratados extensivamente en la contabilización de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como es el caso de los resultados asociados a los mismos. El foco inicial parece puesto en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siendo ellas sólo un ejemplo de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Hay otros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e incluso podemos plantear la existencia de </w:t>
      </w:r>
      <w:proofErr w:type="spellStart"/>
      <w:r>
        <w:rPr>
          <w:rFonts w:ascii="Calibri" w:eastAsia="Calibri" w:hAnsi="Calibri" w:cs="Calibri"/>
          <w:sz w:val="22"/>
          <w:szCs w:val="22"/>
        </w:rPr>
        <w:t>criptopasivos</w:t>
      </w:r>
      <w:proofErr w:type="spellEnd"/>
      <w:r>
        <w:rPr>
          <w:rFonts w:ascii="Calibri" w:eastAsia="Calibri" w:hAnsi="Calibri" w:cs="Calibri"/>
          <w:sz w:val="22"/>
          <w:szCs w:val="22"/>
        </w:rPr>
        <w:t xml:space="preserve">.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Diferentes marcos normativos, opiniones doctrinarias e investigaciones nacionales como internacionales, intentan dar respuesta a una realidad que se impone.  A lo largo del trabajo, además de la conceptualización, se desarrollará acerca del posible tratamiento contable de los resultados de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w:t>
      </w:r>
    </w:p>
    <w:p w:rsidR="002938F6" w:rsidRDefault="002938F6">
      <w:pPr>
        <w:rPr>
          <w:rFonts w:ascii="Calibri" w:eastAsia="Calibri" w:hAnsi="Calibri" w:cs="Calibri"/>
          <w:sz w:val="22"/>
          <w:szCs w:val="22"/>
        </w:rPr>
      </w:pPr>
    </w:p>
    <w:p w:rsidR="00907F0A" w:rsidRDefault="00907F0A">
      <w:pPr>
        <w:rPr>
          <w:rFonts w:ascii="Calibri" w:eastAsia="Calibri" w:hAnsi="Calibri" w:cs="Calibri"/>
          <w:sz w:val="22"/>
          <w:szCs w:val="22"/>
        </w:rPr>
      </w:pPr>
    </w:p>
    <w:p w:rsidR="00907F0A" w:rsidRDefault="00907F0A" w:rsidP="00D248E9">
      <w:pPr>
        <w:rPr>
          <w:rFonts w:ascii="Calibri" w:eastAsia="Calibri" w:hAnsi="Calibri" w:cs="Calibri"/>
          <w:sz w:val="22"/>
          <w:szCs w:val="22"/>
        </w:rPr>
      </w:pPr>
      <w:r w:rsidRPr="00907F0A">
        <w:rPr>
          <w:rFonts w:ascii="Calibri" w:eastAsia="Calibri" w:hAnsi="Calibri" w:cs="Calibri"/>
          <w:b/>
          <w:bCs/>
          <w:sz w:val="22"/>
          <w:szCs w:val="22"/>
        </w:rPr>
        <w:t>Palabras clave</w:t>
      </w:r>
      <w:r>
        <w:rPr>
          <w:rFonts w:ascii="Calibri" w:eastAsia="Calibri" w:hAnsi="Calibri" w:cs="Calibri"/>
          <w:sz w:val="22"/>
          <w:szCs w:val="22"/>
        </w:rPr>
        <w:t xml:space="preserve">: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 </w:t>
      </w:r>
      <w:proofErr w:type="spellStart"/>
      <w:r w:rsidR="00D248E9">
        <w:rPr>
          <w:rFonts w:ascii="Calibri" w:eastAsia="Calibri" w:hAnsi="Calibri" w:cs="Calibri"/>
          <w:sz w:val="22"/>
          <w:szCs w:val="22"/>
        </w:rPr>
        <w:t>criptopasivo</w:t>
      </w:r>
      <w:proofErr w:type="spellEnd"/>
      <w:r w:rsidR="00D248E9">
        <w:rPr>
          <w:rFonts w:ascii="Calibri" w:eastAsia="Calibri" w:hAnsi="Calibri" w:cs="Calibri"/>
          <w:sz w:val="22"/>
          <w:szCs w:val="22"/>
        </w:rPr>
        <w:t xml:space="preserve">, </w:t>
      </w:r>
      <w:proofErr w:type="spellStart"/>
      <w:r w:rsidR="00D248E9">
        <w:rPr>
          <w:rFonts w:ascii="Calibri" w:eastAsia="Calibri" w:hAnsi="Calibri" w:cs="Calibri"/>
          <w:sz w:val="22"/>
          <w:szCs w:val="22"/>
        </w:rPr>
        <w:t>token</w:t>
      </w:r>
      <w:proofErr w:type="spellEnd"/>
      <w:r w:rsidR="00D248E9">
        <w:rPr>
          <w:rFonts w:ascii="Calibri" w:eastAsia="Calibri" w:hAnsi="Calibri" w:cs="Calibri"/>
          <w:sz w:val="22"/>
          <w:szCs w:val="22"/>
        </w:rPr>
        <w:t xml:space="preserve"> , resultados</w:t>
      </w:r>
      <w:r>
        <w:rPr>
          <w:rFonts w:ascii="Calibri" w:eastAsia="Calibri" w:hAnsi="Calibri" w:cs="Calibri"/>
          <w:sz w:val="22"/>
          <w:szCs w:val="22"/>
        </w:rPr>
        <w:t xml:space="preserve">, </w:t>
      </w:r>
      <w:proofErr w:type="spellStart"/>
      <w:r>
        <w:rPr>
          <w:rFonts w:ascii="Calibri" w:eastAsia="Calibri" w:hAnsi="Calibri" w:cs="Calibri"/>
          <w:sz w:val="22"/>
          <w:szCs w:val="22"/>
        </w:rPr>
        <w:t>blockchain</w:t>
      </w:r>
      <w:proofErr w:type="spellEnd"/>
    </w:p>
    <w:p w:rsidR="002938F6" w:rsidRDefault="002938F6">
      <w:pPr>
        <w:rPr>
          <w:rFonts w:ascii="Calibri" w:eastAsia="Calibri" w:hAnsi="Calibri" w:cs="Calibri"/>
          <w:sz w:val="22"/>
          <w:szCs w:val="22"/>
        </w:rPr>
      </w:pPr>
    </w:p>
    <w:p w:rsidR="00907F0A" w:rsidRDefault="00907F0A">
      <w:pPr>
        <w:rPr>
          <w:rFonts w:ascii="Calibri" w:eastAsia="Calibri" w:hAnsi="Calibri" w:cs="Calibri"/>
          <w:b/>
          <w:sz w:val="22"/>
          <w:szCs w:val="22"/>
        </w:rPr>
      </w:pPr>
      <w:r>
        <w:rPr>
          <w:rFonts w:ascii="Calibri" w:eastAsia="Calibri" w:hAnsi="Calibri" w:cs="Calibri"/>
          <w:b/>
          <w:sz w:val="22"/>
          <w:szCs w:val="22"/>
        </w:rPr>
        <w:br w:type="page"/>
      </w:r>
    </w:p>
    <w:p w:rsidR="002938F6" w:rsidRDefault="007211A5">
      <w:pPr>
        <w:rPr>
          <w:rFonts w:ascii="Calibri" w:eastAsia="Calibri" w:hAnsi="Calibri" w:cs="Calibri"/>
          <w:b/>
          <w:sz w:val="22"/>
          <w:szCs w:val="22"/>
        </w:rPr>
      </w:pPr>
      <w:r>
        <w:rPr>
          <w:rFonts w:ascii="Calibri" w:eastAsia="Calibri" w:hAnsi="Calibri" w:cs="Calibri"/>
          <w:b/>
          <w:sz w:val="22"/>
          <w:szCs w:val="22"/>
        </w:rPr>
        <w:lastRenderedPageBreak/>
        <w:t>INTRODUCCIÓN</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Dentro del mundo de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el </w:t>
      </w:r>
      <w:proofErr w:type="spellStart"/>
      <w:r>
        <w:rPr>
          <w:rFonts w:ascii="Calibri" w:eastAsia="Calibri" w:hAnsi="Calibri" w:cs="Calibri"/>
          <w:sz w:val="22"/>
          <w:szCs w:val="22"/>
        </w:rPr>
        <w:t>bitcoin</w:t>
      </w:r>
      <w:proofErr w:type="spellEnd"/>
      <w:r>
        <w:rPr>
          <w:rFonts w:ascii="Calibri" w:eastAsia="Calibri" w:hAnsi="Calibri" w:cs="Calibri"/>
          <w:sz w:val="22"/>
          <w:szCs w:val="22"/>
        </w:rPr>
        <w:t xml:space="preserve"> es una de las aplicaciones de la tecnología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más difundidas, pero no la única, y ha llegado para modificar diversos procesos, representando un nuevo desafío para los profesionales en el ámbito de las ciencias económicas.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Si bien puede generar incertidumbre el futuro de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es innegable que se trata de una realidad; la cual obliga a definiciones que otorguen mayor claridad y seguridad jurídica a las operaciones, acompañando asimismo la evolución del mundo financiero.</w:t>
      </w:r>
    </w:p>
    <w:p w:rsidR="002938F6" w:rsidRDefault="007211A5">
      <w:pPr>
        <w:jc w:val="both"/>
        <w:rPr>
          <w:rFonts w:ascii="Calibri" w:eastAsia="Calibri" w:hAnsi="Calibri" w:cs="Calibri"/>
          <w:sz w:val="22"/>
          <w:szCs w:val="22"/>
        </w:rPr>
      </w:pPr>
      <w:r>
        <w:rPr>
          <w:rFonts w:ascii="Calibri" w:eastAsia="Calibri" w:hAnsi="Calibri" w:cs="Calibri"/>
          <w:sz w:val="22"/>
          <w:szCs w:val="22"/>
        </w:rPr>
        <w:t>En lo que respecta al mundo “</w:t>
      </w:r>
      <w:proofErr w:type="spellStart"/>
      <w:r>
        <w:rPr>
          <w:rFonts w:ascii="Calibri" w:eastAsia="Calibri" w:hAnsi="Calibri" w:cs="Calibri"/>
          <w:sz w:val="22"/>
          <w:szCs w:val="22"/>
        </w:rPr>
        <w:t>cripto</w:t>
      </w:r>
      <w:proofErr w:type="spellEnd"/>
      <w:r>
        <w:rPr>
          <w:rFonts w:ascii="Calibri" w:eastAsia="Calibri" w:hAnsi="Calibri" w:cs="Calibri"/>
          <w:sz w:val="22"/>
          <w:szCs w:val="22"/>
        </w:rPr>
        <w:t xml:space="preserve">” el primer desafío al cual se enfrenta el profesional de ciencias económicas consiste en entender de qué se tratan estos activos, como funcionan y que distintos tipos y usos existen. </w:t>
      </w:r>
    </w:p>
    <w:p w:rsidR="002938F6" w:rsidRDefault="002938F6">
      <w:pPr>
        <w:jc w:val="both"/>
        <w:rPr>
          <w:rFonts w:ascii="Calibri" w:eastAsia="Calibri" w:hAnsi="Calibri" w:cs="Calibri"/>
          <w:sz w:val="22"/>
          <w:szCs w:val="22"/>
        </w:rPr>
      </w:pPr>
    </w:p>
    <w:p w:rsidR="00907F0A" w:rsidRDefault="007211A5">
      <w:pPr>
        <w:jc w:val="both"/>
        <w:rPr>
          <w:rFonts w:ascii="Calibri" w:eastAsia="Calibri" w:hAnsi="Calibri" w:cs="Calibri"/>
          <w:sz w:val="22"/>
          <w:szCs w:val="22"/>
        </w:rPr>
      </w:pPr>
      <w:r>
        <w:rPr>
          <w:rFonts w:ascii="Calibri" w:eastAsia="Calibri" w:hAnsi="Calibri" w:cs="Calibri"/>
          <w:sz w:val="22"/>
          <w:szCs w:val="22"/>
        </w:rPr>
        <w:t xml:space="preserve">Comprender dichas cuestiones permitirá un mejor acercamiento respecto al enfoque y tratamiento a otorgarles, así como la posible aplicación o no de tratamientos análogos al de otros activos. </w:t>
      </w:r>
    </w:p>
    <w:p w:rsidR="00907F0A" w:rsidRDefault="00907F0A">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objetivo del presente trabajo es analizar la correcta contabilización de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desde el punto de vista de los resultados, aunque haciendo algunas menciones obligadas a la exposición en el estado de situación patrimonial.</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 </w:t>
      </w:r>
    </w:p>
    <w:p w:rsidR="00907F0A" w:rsidRPr="00907F0A" w:rsidRDefault="00907F0A" w:rsidP="00907F0A">
      <w:pPr>
        <w:jc w:val="both"/>
        <w:rPr>
          <w:rFonts w:ascii="Calibri" w:eastAsia="Calibri" w:hAnsi="Calibri" w:cs="Calibri"/>
          <w:sz w:val="22"/>
          <w:szCs w:val="22"/>
        </w:rPr>
      </w:pPr>
      <w:r w:rsidRPr="00907F0A">
        <w:rPr>
          <w:rFonts w:ascii="Calibri" w:eastAsia="Calibri" w:hAnsi="Calibri" w:cs="Calibri"/>
          <w:sz w:val="22"/>
          <w:szCs w:val="22"/>
        </w:rPr>
        <w:t xml:space="preserve">El diseño de la investigación es cualitativo, ya que se recurre a las técnicas de recopilación documental, tanto de normativa como de otras publicaciones relacionadas,  y la observación de situaciones reales empresariales para luego realizar la </w:t>
      </w:r>
      <w:proofErr w:type="spellStart"/>
      <w:r w:rsidRPr="00907F0A">
        <w:rPr>
          <w:rFonts w:ascii="Calibri" w:eastAsia="Calibri" w:hAnsi="Calibri" w:cs="Calibri"/>
          <w:sz w:val="22"/>
          <w:szCs w:val="22"/>
        </w:rPr>
        <w:t>contrastación</w:t>
      </w:r>
      <w:proofErr w:type="spellEnd"/>
      <w:r w:rsidRPr="00907F0A">
        <w:rPr>
          <w:rFonts w:ascii="Calibri" w:eastAsia="Calibri" w:hAnsi="Calibri" w:cs="Calibri"/>
          <w:sz w:val="22"/>
          <w:szCs w:val="22"/>
        </w:rPr>
        <w:t xml:space="preserve"> de la teoría en vigencia y la elaboración de ejemplos. La recopilación documental se realiza a través de búsqueda en portales de publicaciones profesionales y académicas (Google académico, </w:t>
      </w:r>
      <w:proofErr w:type="spellStart"/>
      <w:r w:rsidRPr="00907F0A">
        <w:rPr>
          <w:rFonts w:ascii="Calibri" w:eastAsia="Calibri" w:hAnsi="Calibri" w:cs="Calibri"/>
          <w:sz w:val="22"/>
          <w:szCs w:val="22"/>
        </w:rPr>
        <w:t>Research</w:t>
      </w:r>
      <w:proofErr w:type="spellEnd"/>
      <w:r w:rsidRPr="00907F0A">
        <w:rPr>
          <w:rFonts w:ascii="Calibri" w:eastAsia="Calibri" w:hAnsi="Calibri" w:cs="Calibri"/>
          <w:sz w:val="22"/>
          <w:szCs w:val="22"/>
        </w:rPr>
        <w:t xml:space="preserve"> </w:t>
      </w:r>
      <w:proofErr w:type="spellStart"/>
      <w:r w:rsidRPr="00907F0A">
        <w:rPr>
          <w:rFonts w:ascii="Calibri" w:eastAsia="Calibri" w:hAnsi="Calibri" w:cs="Calibri"/>
          <w:sz w:val="22"/>
          <w:szCs w:val="22"/>
        </w:rPr>
        <w:t>Gate</w:t>
      </w:r>
      <w:proofErr w:type="spellEnd"/>
      <w:r w:rsidRPr="00907F0A">
        <w:rPr>
          <w:rFonts w:ascii="Calibri" w:eastAsia="Calibri" w:hAnsi="Calibri" w:cs="Calibri"/>
          <w:sz w:val="22"/>
          <w:szCs w:val="22"/>
        </w:rPr>
        <w:t xml:space="preserve">, </w:t>
      </w:r>
      <w:proofErr w:type="spellStart"/>
      <w:r w:rsidRPr="00907F0A">
        <w:rPr>
          <w:rFonts w:ascii="Calibri" w:eastAsia="Calibri" w:hAnsi="Calibri" w:cs="Calibri"/>
          <w:sz w:val="22"/>
          <w:szCs w:val="22"/>
        </w:rPr>
        <w:t>Proview</w:t>
      </w:r>
      <w:proofErr w:type="spellEnd"/>
      <w:r w:rsidRPr="00907F0A">
        <w:rPr>
          <w:rFonts w:ascii="Calibri" w:eastAsia="Calibri" w:hAnsi="Calibri" w:cs="Calibri"/>
          <w:sz w:val="22"/>
          <w:szCs w:val="22"/>
        </w:rPr>
        <w:t>, Dialnet, entre otras).</w:t>
      </w:r>
    </w:p>
    <w:p w:rsidR="00907F0A" w:rsidRDefault="00907F0A">
      <w:pPr>
        <w:jc w:val="both"/>
        <w:rPr>
          <w:rFonts w:ascii="Calibri" w:eastAsia="Calibri" w:hAnsi="Calibri" w:cs="Calibri"/>
          <w:sz w:val="22"/>
          <w:szCs w:val="22"/>
        </w:rPr>
      </w:pP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b/>
          <w:sz w:val="22"/>
          <w:szCs w:val="22"/>
        </w:rPr>
      </w:pPr>
      <w:r>
        <w:rPr>
          <w:rFonts w:ascii="Calibri" w:eastAsia="Calibri" w:hAnsi="Calibri" w:cs="Calibri"/>
          <w:b/>
          <w:sz w:val="22"/>
          <w:szCs w:val="22"/>
        </w:rPr>
        <w:t>MARCO TEÓRICO</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proofErr w:type="spellStart"/>
      <w:r>
        <w:rPr>
          <w:rFonts w:ascii="Calibri" w:eastAsia="Calibri" w:hAnsi="Calibri" w:cs="Calibri"/>
          <w:b/>
          <w:sz w:val="22"/>
          <w:szCs w:val="22"/>
        </w:rPr>
        <w:t>Criptoactivos</w:t>
      </w:r>
      <w:proofErr w:type="spellEnd"/>
      <w:r>
        <w:rPr>
          <w:rFonts w:ascii="Calibri" w:eastAsia="Calibri" w:hAnsi="Calibri" w:cs="Calibri"/>
          <w:b/>
          <w:sz w:val="22"/>
          <w:szCs w:val="22"/>
        </w:rPr>
        <w:t xml:space="preserve"> y </w:t>
      </w:r>
      <w:proofErr w:type="spellStart"/>
      <w:r>
        <w:rPr>
          <w:rFonts w:ascii="Calibri" w:eastAsia="Calibri" w:hAnsi="Calibri" w:cs="Calibri"/>
          <w:b/>
          <w:sz w:val="22"/>
          <w:szCs w:val="22"/>
        </w:rPr>
        <w:t>blockchain</w:t>
      </w:r>
      <w:proofErr w:type="spellEnd"/>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Mota Sánchez, Fraile &amp; </w:t>
      </w:r>
      <w:proofErr w:type="spellStart"/>
      <w:r>
        <w:rPr>
          <w:rFonts w:ascii="Calibri" w:eastAsia="Calibri" w:hAnsi="Calibri" w:cs="Calibri"/>
          <w:sz w:val="22"/>
          <w:szCs w:val="22"/>
        </w:rPr>
        <w:t>Balbi</w:t>
      </w:r>
      <w:proofErr w:type="spellEnd"/>
      <w:r>
        <w:rPr>
          <w:rFonts w:ascii="Calibri" w:eastAsia="Calibri" w:hAnsi="Calibri" w:cs="Calibri"/>
          <w:sz w:val="22"/>
          <w:szCs w:val="22"/>
        </w:rPr>
        <w:t xml:space="preserve"> (2020) definen a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como “el conjunto de activos digitales y nuevos bienes y servicios que se basan en la </w:t>
      </w:r>
      <w:proofErr w:type="spellStart"/>
      <w:r>
        <w:rPr>
          <w:rFonts w:ascii="Calibri" w:eastAsia="Calibri" w:hAnsi="Calibri" w:cs="Calibri"/>
          <w:sz w:val="22"/>
          <w:szCs w:val="22"/>
        </w:rPr>
        <w:t>criptografía</w:t>
      </w:r>
      <w:proofErr w:type="spellEnd"/>
      <w:r>
        <w:rPr>
          <w:rFonts w:ascii="Calibri" w:eastAsia="Calibri" w:hAnsi="Calibri" w:cs="Calibri"/>
          <w:sz w:val="22"/>
          <w:szCs w:val="22"/>
        </w:rPr>
        <w:t xml:space="preserve"> y la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para mejorar la seguridad, transparencia, mitigar riesgos, eliminar intermediarios en la esencia de su funcionamiento; puesto que, sin criptografía y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funcionarían igual, pero con otros riesgos. Representan valores de los cuales se espera obtener un beneficio económico a corto, mediano o largo plazo". Los hay de muchos tipos, siendo los más comunes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y los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La </w:t>
      </w:r>
      <w:proofErr w:type="spellStart"/>
      <w:r>
        <w:rPr>
          <w:rFonts w:ascii="Calibri" w:eastAsia="Calibri" w:hAnsi="Calibri" w:cs="Calibri"/>
          <w:sz w:val="22"/>
          <w:szCs w:val="22"/>
        </w:rPr>
        <w:t>tokenización</w:t>
      </w:r>
      <w:proofErr w:type="spellEnd"/>
      <w:r>
        <w:rPr>
          <w:rFonts w:ascii="Calibri" w:eastAsia="Calibri" w:hAnsi="Calibri" w:cs="Calibri"/>
          <w:sz w:val="22"/>
          <w:szCs w:val="22"/>
        </w:rPr>
        <w:t xml:space="preserve"> es el proceso que “monetiza” el derecho de uso.</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pueden adquirirse por tres motivos: </w:t>
      </w:r>
    </w:p>
    <w:p w:rsidR="002938F6" w:rsidRDefault="007211A5">
      <w:pPr>
        <w:numPr>
          <w:ilvl w:val="0"/>
          <w:numId w:val="7"/>
        </w:numPr>
        <w:jc w:val="both"/>
        <w:rPr>
          <w:rFonts w:ascii="Calibri" w:eastAsia="Calibri" w:hAnsi="Calibri" w:cs="Calibri"/>
          <w:sz w:val="22"/>
          <w:szCs w:val="22"/>
        </w:rPr>
      </w:pPr>
      <w:r>
        <w:rPr>
          <w:rFonts w:ascii="Calibri" w:eastAsia="Calibri" w:hAnsi="Calibri" w:cs="Calibri"/>
          <w:sz w:val="22"/>
          <w:szCs w:val="22"/>
        </w:rPr>
        <w:t>Medio de pago: su objetivo es funcionar como elemento de intercambio en operaciones de compra y venta de productos y servicios.</w:t>
      </w:r>
    </w:p>
    <w:p w:rsidR="002938F6" w:rsidRDefault="007211A5">
      <w:pPr>
        <w:numPr>
          <w:ilvl w:val="0"/>
          <w:numId w:val="7"/>
        </w:numPr>
        <w:jc w:val="both"/>
        <w:rPr>
          <w:rFonts w:ascii="Calibri" w:eastAsia="Calibri" w:hAnsi="Calibri" w:cs="Calibri"/>
          <w:sz w:val="22"/>
          <w:szCs w:val="22"/>
        </w:rPr>
      </w:pPr>
      <w:r>
        <w:rPr>
          <w:rFonts w:ascii="Calibri" w:eastAsia="Calibri" w:hAnsi="Calibri" w:cs="Calibri"/>
          <w:sz w:val="22"/>
          <w:szCs w:val="22"/>
        </w:rPr>
        <w:t xml:space="preserve">Negocio: puede ser la actividad principal de una sociedad del mismo modo que existen las empresas de cambio de divisas. </w:t>
      </w:r>
    </w:p>
    <w:p w:rsidR="002938F6" w:rsidRDefault="007211A5">
      <w:pPr>
        <w:numPr>
          <w:ilvl w:val="0"/>
          <w:numId w:val="7"/>
        </w:numPr>
        <w:jc w:val="both"/>
        <w:rPr>
          <w:rFonts w:ascii="Calibri" w:eastAsia="Calibri" w:hAnsi="Calibri" w:cs="Calibri"/>
          <w:sz w:val="22"/>
          <w:szCs w:val="22"/>
        </w:rPr>
      </w:pPr>
      <w:r>
        <w:rPr>
          <w:rFonts w:ascii="Calibri" w:eastAsia="Calibri" w:hAnsi="Calibri" w:cs="Calibri"/>
          <w:sz w:val="22"/>
          <w:szCs w:val="22"/>
        </w:rPr>
        <w:t>Inversión: se puede tratar como un elemento de inversión con el que obtener un rendimiento en el futuro al igual que se haría con cualquier activo o derivado. (</w:t>
      </w:r>
      <w:proofErr w:type="spellStart"/>
      <w:r>
        <w:rPr>
          <w:rFonts w:ascii="Calibri" w:eastAsia="Calibri" w:hAnsi="Calibri" w:cs="Calibri"/>
          <w:sz w:val="22"/>
          <w:szCs w:val="22"/>
        </w:rPr>
        <w:t>Errepar</w:t>
      </w:r>
      <w:proofErr w:type="spellEnd"/>
      <w:r>
        <w:rPr>
          <w:rFonts w:ascii="Calibri" w:eastAsia="Calibri" w:hAnsi="Calibri" w:cs="Calibri"/>
          <w:sz w:val="22"/>
          <w:szCs w:val="22"/>
        </w:rPr>
        <w:t>, 2020)</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En referencia a los tipos de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tenemos tres grandes grupos a considerar:</w:t>
      </w:r>
    </w:p>
    <w:p w:rsidR="002938F6" w:rsidRDefault="007211A5">
      <w:pPr>
        <w:numPr>
          <w:ilvl w:val="0"/>
          <w:numId w:val="3"/>
        </w:numPr>
        <w:pBdr>
          <w:top w:val="nil"/>
          <w:left w:val="nil"/>
          <w:bottom w:val="nil"/>
          <w:right w:val="nil"/>
          <w:between w:val="nil"/>
        </w:pBdr>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Payment</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token</w:t>
      </w:r>
      <w:proofErr w:type="spellEnd"/>
      <w:r>
        <w:rPr>
          <w:rFonts w:ascii="Calibri" w:eastAsia="Calibri" w:hAnsi="Calibri" w:cs="Calibri"/>
          <w:color w:val="000000"/>
          <w:sz w:val="22"/>
          <w:szCs w:val="22"/>
        </w:rPr>
        <w:t xml:space="preserve"> o </w:t>
      </w:r>
      <w:proofErr w:type="spellStart"/>
      <w:r>
        <w:rPr>
          <w:rFonts w:ascii="Calibri" w:eastAsia="Calibri" w:hAnsi="Calibri" w:cs="Calibri"/>
          <w:color w:val="000000"/>
          <w:sz w:val="22"/>
          <w:szCs w:val="22"/>
        </w:rPr>
        <w:t>criptomonedas</w:t>
      </w:r>
      <w:proofErr w:type="spellEnd"/>
      <w:r>
        <w:rPr>
          <w:rFonts w:ascii="Calibri" w:eastAsia="Calibri" w:hAnsi="Calibri" w:cs="Calibri"/>
          <w:color w:val="000000"/>
          <w:sz w:val="22"/>
          <w:szCs w:val="22"/>
        </w:rPr>
        <w:t xml:space="preserve">: su propósito es funcionar como medio de intercambio o almacenamiento de valor, ejemplo de estas son </w:t>
      </w:r>
      <w:proofErr w:type="spellStart"/>
      <w:r>
        <w:rPr>
          <w:rFonts w:ascii="Calibri" w:eastAsia="Calibri" w:hAnsi="Calibri" w:cs="Calibri"/>
          <w:color w:val="000000"/>
          <w:sz w:val="22"/>
          <w:szCs w:val="22"/>
        </w:rPr>
        <w:t>Bitcoin</w:t>
      </w:r>
      <w:proofErr w:type="spellEnd"/>
      <w:r>
        <w:rPr>
          <w:rFonts w:ascii="Calibri" w:eastAsia="Calibri" w:hAnsi="Calibri" w:cs="Calibri"/>
          <w:color w:val="000000"/>
          <w:sz w:val="22"/>
          <w:szCs w:val="22"/>
        </w:rPr>
        <w:t xml:space="preserve"> o </w:t>
      </w:r>
      <w:proofErr w:type="spellStart"/>
      <w:r>
        <w:rPr>
          <w:rFonts w:ascii="Calibri" w:eastAsia="Calibri" w:hAnsi="Calibri" w:cs="Calibri"/>
          <w:color w:val="000000"/>
          <w:sz w:val="22"/>
          <w:szCs w:val="22"/>
        </w:rPr>
        <w:t>Ether</w:t>
      </w:r>
      <w:proofErr w:type="spellEnd"/>
      <w:r>
        <w:rPr>
          <w:rFonts w:ascii="Calibri" w:eastAsia="Calibri" w:hAnsi="Calibri" w:cs="Calibri"/>
          <w:color w:val="000000"/>
          <w:sz w:val="22"/>
          <w:szCs w:val="22"/>
        </w:rPr>
        <w:t>. (</w:t>
      </w:r>
      <w:proofErr w:type="spellStart"/>
      <w:r>
        <w:rPr>
          <w:rFonts w:ascii="Calibri" w:eastAsia="Calibri" w:hAnsi="Calibri" w:cs="Calibri"/>
          <w:color w:val="000000"/>
          <w:sz w:val="22"/>
          <w:szCs w:val="22"/>
        </w:rPr>
        <w:t>Deloitte</w:t>
      </w:r>
      <w:proofErr w:type="spellEnd"/>
      <w:r>
        <w:rPr>
          <w:rFonts w:ascii="Calibri" w:eastAsia="Calibri" w:hAnsi="Calibri" w:cs="Calibri"/>
          <w:color w:val="000000"/>
          <w:sz w:val="22"/>
          <w:szCs w:val="22"/>
        </w:rPr>
        <w:t>, 2020) </w:t>
      </w:r>
    </w:p>
    <w:p w:rsidR="002938F6" w:rsidRDefault="007211A5">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Security </w:t>
      </w:r>
      <w:proofErr w:type="spellStart"/>
      <w:r>
        <w:rPr>
          <w:rFonts w:ascii="Calibri" w:eastAsia="Calibri" w:hAnsi="Calibri" w:cs="Calibri"/>
          <w:color w:val="000000"/>
          <w:sz w:val="22"/>
          <w:szCs w:val="22"/>
        </w:rPr>
        <w:t>token</w:t>
      </w:r>
      <w:proofErr w:type="spellEnd"/>
      <w:r>
        <w:rPr>
          <w:rFonts w:ascii="Calibri" w:eastAsia="Calibri" w:hAnsi="Calibri" w:cs="Calibri"/>
          <w:color w:val="000000"/>
          <w:sz w:val="22"/>
          <w:szCs w:val="22"/>
        </w:rPr>
        <w:t xml:space="preserve">: son aquellos instrumentos que son asimilables a valores negociables por tener características equivalentes a ellos (por ejemplo, proporcionar una participación en los </w:t>
      </w:r>
      <w:r>
        <w:rPr>
          <w:rFonts w:ascii="Calibri" w:eastAsia="Calibri" w:hAnsi="Calibri" w:cs="Calibri"/>
          <w:color w:val="000000"/>
          <w:sz w:val="22"/>
          <w:szCs w:val="22"/>
        </w:rPr>
        <w:lastRenderedPageBreak/>
        <w:t xml:space="preserve">beneficios de un negocio, conceder derechos políticos sobre la gestión de una compañía o rentar un interés prefijado) y, por tanto, representar una inversión. (Quejido, 2019) </w:t>
      </w:r>
    </w:p>
    <w:p w:rsidR="002938F6" w:rsidRDefault="007211A5">
      <w:pPr>
        <w:numPr>
          <w:ilvl w:val="0"/>
          <w:numId w:val="3"/>
        </w:numPr>
        <w:pBdr>
          <w:top w:val="nil"/>
          <w:left w:val="nil"/>
          <w:bottom w:val="nil"/>
          <w:right w:val="nil"/>
          <w:between w:val="nil"/>
        </w:pBdr>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Utility</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token</w:t>
      </w:r>
      <w:proofErr w:type="spellEnd"/>
      <w:r>
        <w:rPr>
          <w:rFonts w:ascii="Calibri" w:eastAsia="Calibri" w:hAnsi="Calibri" w:cs="Calibri"/>
          <w:color w:val="000000"/>
          <w:sz w:val="22"/>
          <w:szCs w:val="22"/>
        </w:rPr>
        <w:t>: son usadas en un intercambio por bienes o servicios futuros del emisor. El tenedor puede por lo tanto tener derecho a redimir las monedas por los productos del emisor, la fijación del precio de la ICO</w:t>
      </w:r>
      <w:r>
        <w:rPr>
          <w:rFonts w:ascii="Calibri" w:eastAsia="Calibri" w:hAnsi="Calibri" w:cs="Calibri"/>
          <w:color w:val="000000"/>
          <w:sz w:val="22"/>
          <w:szCs w:val="22"/>
          <w:vertAlign w:val="superscript"/>
        </w:rPr>
        <w:footnoteReference w:id="1"/>
      </w:r>
      <w:r>
        <w:rPr>
          <w:rFonts w:ascii="Calibri" w:eastAsia="Calibri" w:hAnsi="Calibri" w:cs="Calibri"/>
          <w:color w:val="000000"/>
          <w:sz w:val="22"/>
          <w:szCs w:val="22"/>
        </w:rPr>
        <w:t xml:space="preserve"> puede darles a los suscriptores un incentivo de precio en los bienes o servicios. De acuerdo con ello, tendría las características de un pago hecho por anticipado, muy similar a una tarjeta de regalo pagada por anticipación o </w:t>
      </w:r>
      <w:proofErr w:type="spellStart"/>
      <w:r>
        <w:rPr>
          <w:rFonts w:ascii="Calibri" w:eastAsia="Calibri" w:hAnsi="Calibri" w:cs="Calibri"/>
          <w:color w:val="000000"/>
          <w:sz w:val="22"/>
          <w:szCs w:val="22"/>
        </w:rPr>
        <w:t>crowdfunding</w:t>
      </w:r>
      <w:proofErr w:type="spellEnd"/>
      <w:r>
        <w:rPr>
          <w:rFonts w:ascii="Calibri" w:eastAsia="Calibri" w:hAnsi="Calibri" w:cs="Calibri"/>
          <w:color w:val="000000"/>
          <w:sz w:val="22"/>
          <w:szCs w:val="22"/>
        </w:rPr>
        <w:t xml:space="preserve"> de un producto. (</w:t>
      </w:r>
      <w:proofErr w:type="spellStart"/>
      <w:r>
        <w:rPr>
          <w:rFonts w:ascii="Calibri" w:eastAsia="Calibri" w:hAnsi="Calibri" w:cs="Calibri"/>
          <w:color w:val="000000"/>
          <w:sz w:val="22"/>
          <w:szCs w:val="22"/>
        </w:rPr>
        <w:t>Deloitte</w:t>
      </w:r>
      <w:proofErr w:type="spellEnd"/>
      <w:r>
        <w:rPr>
          <w:rFonts w:ascii="Calibri" w:eastAsia="Calibri" w:hAnsi="Calibri" w:cs="Calibri"/>
          <w:color w:val="000000"/>
          <w:sz w:val="22"/>
          <w:szCs w:val="22"/>
        </w:rPr>
        <w:t>, 2020)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Dentro de los </w:t>
      </w:r>
      <w:proofErr w:type="spellStart"/>
      <w:r>
        <w:rPr>
          <w:rFonts w:ascii="Calibri" w:eastAsia="Calibri" w:hAnsi="Calibri" w:cs="Calibri"/>
          <w:sz w:val="22"/>
          <w:szCs w:val="22"/>
        </w:rPr>
        <w:t>payment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token</w:t>
      </w:r>
      <w:proofErr w:type="spellEnd"/>
      <w:r>
        <w:rPr>
          <w:rFonts w:ascii="Calibri" w:eastAsia="Calibri" w:hAnsi="Calibri" w:cs="Calibri"/>
          <w:sz w:val="22"/>
          <w:szCs w:val="22"/>
        </w:rPr>
        <w:t xml:space="preserve">, existen asimismo </w:t>
      </w:r>
      <w:proofErr w:type="spellStart"/>
      <w:r>
        <w:rPr>
          <w:rFonts w:ascii="Calibri" w:eastAsia="Calibri" w:hAnsi="Calibri" w:cs="Calibri"/>
          <w:sz w:val="22"/>
          <w:szCs w:val="22"/>
        </w:rPr>
        <w:t>stablecoins</w:t>
      </w:r>
      <w:proofErr w:type="spellEnd"/>
      <w:r>
        <w:rPr>
          <w:rFonts w:ascii="Calibri" w:eastAsia="Calibri" w:hAnsi="Calibri" w:cs="Calibri"/>
          <w:sz w:val="22"/>
          <w:szCs w:val="22"/>
        </w:rPr>
        <w:t xml:space="preserve"> o monedas estables, por ejemplo DAI o USDT, cuya característica o razón de ser es su alta estabilidad de precio. Buscan cotizar 1 a 1 con el dólar estadounidense, es decir mantener esa paridad. Sin embargo, como bien aclara </w:t>
      </w:r>
      <w:proofErr w:type="spellStart"/>
      <w:r>
        <w:rPr>
          <w:rFonts w:ascii="Calibri" w:eastAsia="Calibri" w:hAnsi="Calibri" w:cs="Calibri"/>
          <w:sz w:val="22"/>
          <w:szCs w:val="22"/>
        </w:rPr>
        <w:t>Zocaro</w:t>
      </w:r>
      <w:proofErr w:type="spellEnd"/>
      <w:r>
        <w:rPr>
          <w:rFonts w:ascii="Calibri" w:eastAsia="Calibri" w:hAnsi="Calibri" w:cs="Calibri"/>
          <w:sz w:val="22"/>
          <w:szCs w:val="22"/>
        </w:rPr>
        <w:t xml:space="preserve"> (2020), no tienen exactamente las mismas cualidades técnicas que, por ejemplo, </w:t>
      </w:r>
      <w:proofErr w:type="spellStart"/>
      <w:r>
        <w:rPr>
          <w:rFonts w:ascii="Calibri" w:eastAsia="Calibri" w:hAnsi="Calibri" w:cs="Calibri"/>
          <w:sz w:val="22"/>
          <w:szCs w:val="22"/>
        </w:rPr>
        <w:t>bitcoin</w:t>
      </w:r>
      <w:proofErr w:type="spellEnd"/>
      <w:r>
        <w:rPr>
          <w:rFonts w:ascii="Calibri" w:eastAsia="Calibri" w:hAnsi="Calibri" w:cs="Calibri"/>
          <w:sz w:val="22"/>
          <w:szCs w:val="22"/>
        </w:rPr>
        <w:t>; las </w:t>
      </w:r>
      <w:proofErr w:type="spellStart"/>
      <w:r>
        <w:rPr>
          <w:rFonts w:ascii="Calibri" w:eastAsia="Calibri" w:hAnsi="Calibri" w:cs="Calibri"/>
          <w:sz w:val="22"/>
          <w:szCs w:val="22"/>
        </w:rPr>
        <w:t>stablecoins</w:t>
      </w:r>
      <w:proofErr w:type="spellEnd"/>
      <w:r>
        <w:rPr>
          <w:rFonts w:ascii="Calibri" w:eastAsia="Calibri" w:hAnsi="Calibri" w:cs="Calibri"/>
          <w:sz w:val="22"/>
          <w:szCs w:val="22"/>
        </w:rPr>
        <w:t> no poseen una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propia e incluso pueden ser emitidas en forma centralizada. Y la mayoría de ellas está respaldada por otro activo (desde dinero fiduciario, como dólares, hasta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A la fecha, existe gran cantidad de monedas virtuales como </w:t>
      </w:r>
      <w:proofErr w:type="spellStart"/>
      <w:r>
        <w:rPr>
          <w:rFonts w:ascii="Calibri" w:eastAsia="Calibri" w:hAnsi="Calibri" w:cs="Calibri"/>
          <w:sz w:val="22"/>
          <w:szCs w:val="22"/>
        </w:rPr>
        <w:t>Ethereum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Ripple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Litecoin</w:t>
      </w:r>
      <w:proofErr w:type="spellEnd"/>
      <w:r>
        <w:rPr>
          <w:rFonts w:ascii="Calibri" w:eastAsia="Calibri" w:hAnsi="Calibri" w:cs="Calibri"/>
          <w:sz w:val="22"/>
          <w:szCs w:val="22"/>
        </w:rPr>
        <w:t xml:space="preserve"> pero </w:t>
      </w:r>
      <w:proofErr w:type="spellStart"/>
      <w:r>
        <w:rPr>
          <w:rFonts w:ascii="Calibri" w:eastAsia="Calibri" w:hAnsi="Calibri" w:cs="Calibri"/>
          <w:sz w:val="22"/>
          <w:szCs w:val="22"/>
        </w:rPr>
        <w:t>Bitcoin</w:t>
      </w:r>
      <w:proofErr w:type="spellEnd"/>
      <w:r>
        <w:rPr>
          <w:rFonts w:ascii="Calibri" w:eastAsia="Calibri" w:hAnsi="Calibri" w:cs="Calibri"/>
          <w:sz w:val="22"/>
          <w:szCs w:val="22"/>
        </w:rPr>
        <w:t xml:space="preserve"> es la de mayor popularidad, debido a que es la que tiene más volumen de operaciones en el mundo. (</w:t>
      </w:r>
      <w:proofErr w:type="spellStart"/>
      <w:r>
        <w:rPr>
          <w:rFonts w:ascii="Calibri" w:eastAsia="Calibri" w:hAnsi="Calibri" w:cs="Calibri"/>
          <w:sz w:val="22"/>
          <w:szCs w:val="22"/>
        </w:rPr>
        <w:t>Vadell</w:t>
      </w:r>
      <w:proofErr w:type="spellEnd"/>
      <w:r>
        <w:rPr>
          <w:rFonts w:ascii="Calibri" w:eastAsia="Calibri" w:hAnsi="Calibri" w:cs="Calibri"/>
          <w:sz w:val="22"/>
          <w:szCs w:val="22"/>
        </w:rPr>
        <w:t xml:space="preserve">, 2020)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La primera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data del 31/10/2008 cuando bajo el pseudónimo </w:t>
      </w:r>
      <w:proofErr w:type="spellStart"/>
      <w:r>
        <w:rPr>
          <w:rFonts w:ascii="Calibri" w:eastAsia="Calibri" w:hAnsi="Calibri" w:cs="Calibri"/>
          <w:sz w:val="22"/>
          <w:szCs w:val="22"/>
        </w:rPr>
        <w:t>Satoshi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Nakamoto</w:t>
      </w:r>
      <w:proofErr w:type="spellEnd"/>
      <w:r>
        <w:rPr>
          <w:rFonts w:ascii="Calibri" w:eastAsia="Calibri" w:hAnsi="Calibri" w:cs="Calibri"/>
          <w:sz w:val="22"/>
          <w:szCs w:val="22"/>
        </w:rPr>
        <w:t xml:space="preserve"> se publica el </w:t>
      </w:r>
      <w:proofErr w:type="spellStart"/>
      <w:r>
        <w:rPr>
          <w:rFonts w:ascii="Calibri" w:eastAsia="Calibri" w:hAnsi="Calibri" w:cs="Calibri"/>
          <w:sz w:val="22"/>
          <w:szCs w:val="22"/>
        </w:rPr>
        <w:t>paper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Bitcoin</w:t>
      </w:r>
      <w:proofErr w:type="spellEnd"/>
      <w:r>
        <w:rPr>
          <w:rFonts w:ascii="Calibri" w:eastAsia="Calibri" w:hAnsi="Calibri" w:cs="Calibri"/>
          <w:sz w:val="22"/>
          <w:szCs w:val="22"/>
        </w:rPr>
        <w:t xml:space="preserve">: un sistema de dinero en efectivo electrónico </w:t>
      </w:r>
      <w:r>
        <w:rPr>
          <w:rFonts w:ascii="Calibri" w:eastAsia="Calibri" w:hAnsi="Calibri" w:cs="Calibri"/>
          <w:i/>
          <w:sz w:val="22"/>
          <w:szCs w:val="22"/>
        </w:rPr>
        <w:t>peer-</w:t>
      </w:r>
      <w:proofErr w:type="spellStart"/>
      <w:r>
        <w:rPr>
          <w:rFonts w:ascii="Calibri" w:eastAsia="Calibri" w:hAnsi="Calibri" w:cs="Calibri"/>
          <w:i/>
          <w:sz w:val="22"/>
          <w:szCs w:val="22"/>
        </w:rPr>
        <w:t>to</w:t>
      </w:r>
      <w:proofErr w:type="spellEnd"/>
      <w:r>
        <w:rPr>
          <w:rFonts w:ascii="Calibri" w:eastAsia="Calibri" w:hAnsi="Calibri" w:cs="Calibri"/>
          <w:i/>
          <w:sz w:val="22"/>
          <w:szCs w:val="22"/>
        </w:rPr>
        <w:t>- peer” (https://bitcoin.org/bitcoin.pdf)</w:t>
      </w:r>
      <w:r>
        <w:rPr>
          <w:rFonts w:ascii="Calibri" w:eastAsia="Calibri" w:hAnsi="Calibri" w:cs="Calibri"/>
          <w:sz w:val="22"/>
          <w:szCs w:val="22"/>
        </w:rPr>
        <w:t xml:space="preserve">, un artículo de 9 páginas en el cual se describe el funcionamiento de </w:t>
      </w:r>
      <w:proofErr w:type="spellStart"/>
      <w:r>
        <w:rPr>
          <w:rFonts w:ascii="Calibri" w:eastAsia="Calibri" w:hAnsi="Calibri" w:cs="Calibri"/>
          <w:sz w:val="22"/>
          <w:szCs w:val="22"/>
        </w:rPr>
        <w:t>bitcoin</w:t>
      </w:r>
      <w:proofErr w:type="spellEnd"/>
      <w:r>
        <w:rPr>
          <w:rFonts w:ascii="Calibri" w:eastAsia="Calibri" w:hAnsi="Calibri" w:cs="Calibri"/>
          <w:i/>
          <w:sz w:val="22"/>
          <w:szCs w:val="22"/>
        </w:rPr>
        <w:t>.</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sistema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permite el uso de una base de datos virtual, un registro único compartido en tiempo real que no requiere la confianza de unos en otros dado que es inmutable.</w:t>
      </w:r>
      <w:r>
        <w:rPr>
          <w:rFonts w:ascii="Calibri" w:eastAsia="Calibri" w:hAnsi="Calibri" w:cs="Calibri"/>
          <w:b/>
          <w:sz w:val="22"/>
          <w:szCs w:val="22"/>
        </w:rPr>
        <w:t xml:space="preserve"> </w:t>
      </w:r>
      <w:r>
        <w:rPr>
          <w:rFonts w:ascii="Calibri" w:eastAsia="Calibri" w:hAnsi="Calibri" w:cs="Calibri"/>
          <w:sz w:val="22"/>
          <w:szCs w:val="22"/>
        </w:rPr>
        <w:t>(</w:t>
      </w:r>
      <w:proofErr w:type="spellStart"/>
      <w:r>
        <w:rPr>
          <w:rFonts w:ascii="Calibri" w:eastAsia="Calibri" w:hAnsi="Calibri" w:cs="Calibri"/>
          <w:sz w:val="22"/>
          <w:szCs w:val="22"/>
        </w:rPr>
        <w:t>Aballay</w:t>
      </w:r>
      <w:proofErr w:type="spellEnd"/>
      <w:r>
        <w:rPr>
          <w:rFonts w:ascii="Calibri" w:eastAsia="Calibri" w:hAnsi="Calibri" w:cs="Calibri"/>
          <w:sz w:val="22"/>
          <w:szCs w:val="22"/>
        </w:rPr>
        <w:t xml:space="preserve"> et al, 2021)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Cada grupo de nuevas transacciones es enviado a la red de validadores (“mineros”) que las comprueban y descartan las incorrectas. Las transacciones validadas se agrupan en un bloque. Cada bloque tiene una referencia al anterior, formando una cadena. Se considera inmutable ya que si se intentara cambiar una transacción pasada, la referencia cambiaría y el resto de los validadores lo detectaría.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De este modo,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son simplemente “saldos” en un registro virtual compartido y validado por consenso denominado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A fin de ser redundante una persona no posee físicamente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sino que tendrá́ un saldo de las mismas reflejado</w:t>
      </w:r>
      <w:r>
        <w:rPr>
          <w:rFonts w:ascii="Calibri" w:eastAsia="Calibri" w:hAnsi="Calibri" w:cs="Calibri"/>
          <w:i/>
          <w:sz w:val="22"/>
          <w:szCs w:val="22"/>
        </w:rPr>
        <w:t xml:space="preserve"> </w:t>
      </w:r>
      <w:r>
        <w:rPr>
          <w:rFonts w:ascii="Calibri" w:eastAsia="Calibri" w:hAnsi="Calibri" w:cs="Calibri"/>
          <w:sz w:val="22"/>
          <w:szCs w:val="22"/>
        </w:rPr>
        <w:t xml:space="preserve">en la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pudiendo utilizarlas a modo de intercambio; por ejemplo, transferirlo a otro individuo a cambio de dinero o bienes, o por otra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w:t>
      </w:r>
      <w:proofErr w:type="spellStart"/>
      <w:r>
        <w:rPr>
          <w:rFonts w:ascii="Calibri" w:eastAsia="Calibri" w:hAnsi="Calibri" w:cs="Calibri"/>
          <w:sz w:val="22"/>
          <w:szCs w:val="22"/>
        </w:rPr>
        <w:t>Provenzani</w:t>
      </w:r>
      <w:proofErr w:type="spellEnd"/>
      <w:r>
        <w:rPr>
          <w:rFonts w:ascii="Calibri" w:eastAsia="Calibri" w:hAnsi="Calibri" w:cs="Calibri"/>
          <w:sz w:val="22"/>
          <w:szCs w:val="22"/>
        </w:rPr>
        <w:t>, 2020)</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Para almacenar y utilizar sus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las personas utilizan las aplicaciones llamadas “</w:t>
      </w:r>
      <w:proofErr w:type="spellStart"/>
      <w:r>
        <w:rPr>
          <w:rFonts w:ascii="Calibri" w:eastAsia="Calibri" w:hAnsi="Calibri" w:cs="Calibri"/>
          <w:sz w:val="22"/>
          <w:szCs w:val="22"/>
        </w:rPr>
        <w:t>wallet</w:t>
      </w:r>
      <w:proofErr w:type="spellEnd"/>
      <w:r>
        <w:rPr>
          <w:rFonts w:ascii="Calibri" w:eastAsia="Calibri" w:hAnsi="Calibri" w:cs="Calibri"/>
          <w:sz w:val="22"/>
          <w:szCs w:val="22"/>
        </w:rPr>
        <w:t xml:space="preserve">” o “monedero”, dichos programas lo que hacen es administrar las claves criptográficas que le dan acceso al usuario a su “saldo de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en la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o bien utilizan un </w:t>
      </w:r>
      <w:proofErr w:type="spellStart"/>
      <w:r>
        <w:rPr>
          <w:rFonts w:ascii="Calibri" w:eastAsia="Calibri" w:hAnsi="Calibri" w:cs="Calibri"/>
          <w:sz w:val="22"/>
          <w:szCs w:val="22"/>
        </w:rPr>
        <w:t>exchanger</w:t>
      </w:r>
      <w:proofErr w:type="spellEnd"/>
      <w:r>
        <w:rPr>
          <w:rFonts w:ascii="Calibri" w:eastAsia="Calibri" w:hAnsi="Calibri" w:cs="Calibri"/>
          <w:sz w:val="22"/>
          <w:szCs w:val="22"/>
        </w:rPr>
        <w:t xml:space="preserve"> que administra esas claves por ellos. Es decir, la </w:t>
      </w:r>
      <w:proofErr w:type="spellStart"/>
      <w:r>
        <w:rPr>
          <w:rFonts w:ascii="Calibri" w:eastAsia="Calibri" w:hAnsi="Calibri" w:cs="Calibri"/>
          <w:sz w:val="22"/>
          <w:szCs w:val="22"/>
        </w:rPr>
        <w:t>wallet</w:t>
      </w:r>
      <w:proofErr w:type="spellEnd"/>
      <w:r>
        <w:rPr>
          <w:rFonts w:ascii="Calibri" w:eastAsia="Calibri" w:hAnsi="Calibri" w:cs="Calibri"/>
          <w:sz w:val="22"/>
          <w:szCs w:val="22"/>
        </w:rPr>
        <w:t xml:space="preserve"> permitiría al individuo realizar las transacciones. (</w:t>
      </w:r>
      <w:proofErr w:type="spellStart"/>
      <w:r>
        <w:rPr>
          <w:rFonts w:ascii="Calibri" w:eastAsia="Calibri" w:hAnsi="Calibri" w:cs="Calibri"/>
          <w:sz w:val="22"/>
          <w:szCs w:val="22"/>
        </w:rPr>
        <w:t>Luquez</w:t>
      </w:r>
      <w:proofErr w:type="spellEnd"/>
      <w:r>
        <w:rPr>
          <w:rFonts w:ascii="Calibri" w:eastAsia="Calibri" w:hAnsi="Calibri" w:cs="Calibri"/>
          <w:sz w:val="22"/>
          <w:szCs w:val="22"/>
        </w:rPr>
        <w:t xml:space="preserve"> &amp; </w:t>
      </w:r>
      <w:proofErr w:type="spellStart"/>
      <w:r>
        <w:rPr>
          <w:rFonts w:ascii="Calibri" w:eastAsia="Calibri" w:hAnsi="Calibri" w:cs="Calibri"/>
          <w:sz w:val="22"/>
          <w:szCs w:val="22"/>
        </w:rPr>
        <w:t>Marin</w:t>
      </w:r>
      <w:proofErr w:type="spellEnd"/>
      <w:r>
        <w:rPr>
          <w:rFonts w:ascii="Calibri" w:eastAsia="Calibri" w:hAnsi="Calibri" w:cs="Calibri"/>
          <w:sz w:val="22"/>
          <w:szCs w:val="22"/>
        </w:rPr>
        <w:t>, 2018)</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Para ingresar o realizar las transacciones, </w:t>
      </w:r>
      <w:proofErr w:type="spellStart"/>
      <w:r>
        <w:rPr>
          <w:rFonts w:ascii="Calibri" w:eastAsia="Calibri" w:hAnsi="Calibri" w:cs="Calibri"/>
          <w:sz w:val="22"/>
          <w:szCs w:val="22"/>
        </w:rPr>
        <w:t>bitcoin</w:t>
      </w:r>
      <w:proofErr w:type="spellEnd"/>
      <w:r>
        <w:rPr>
          <w:rFonts w:ascii="Calibri" w:eastAsia="Calibri" w:hAnsi="Calibri" w:cs="Calibri"/>
          <w:sz w:val="22"/>
          <w:szCs w:val="22"/>
        </w:rPr>
        <w:t xml:space="preserve"> utiliza la criptografía asimétrica. Se basa en el uso de dos llaves: una pública para </w:t>
      </w:r>
      <w:proofErr w:type="spellStart"/>
      <w:r>
        <w:rPr>
          <w:rFonts w:ascii="Calibri" w:eastAsia="Calibri" w:hAnsi="Calibri" w:cs="Calibri"/>
          <w:sz w:val="22"/>
          <w:szCs w:val="22"/>
        </w:rPr>
        <w:t>encriptar</w:t>
      </w:r>
      <w:proofErr w:type="spellEnd"/>
      <w:r>
        <w:rPr>
          <w:rFonts w:ascii="Calibri" w:eastAsia="Calibri" w:hAnsi="Calibri" w:cs="Calibri"/>
          <w:sz w:val="22"/>
          <w:szCs w:val="22"/>
        </w:rPr>
        <w:t xml:space="preserve"> y otra privada para </w:t>
      </w:r>
      <w:proofErr w:type="spellStart"/>
      <w:r>
        <w:rPr>
          <w:rFonts w:ascii="Calibri" w:eastAsia="Calibri" w:hAnsi="Calibri" w:cs="Calibri"/>
          <w:sz w:val="22"/>
          <w:szCs w:val="22"/>
        </w:rPr>
        <w:t>desencriptar</w:t>
      </w:r>
      <w:proofErr w:type="spellEnd"/>
      <w:r>
        <w:rPr>
          <w:rFonts w:ascii="Calibri" w:eastAsia="Calibri" w:hAnsi="Calibri" w:cs="Calibri"/>
          <w:sz w:val="22"/>
          <w:szCs w:val="22"/>
        </w:rPr>
        <w:t xml:space="preserve"> el mensaje. De esta forma solo lo puede descifrar quien dispone de la clave privada. Las claves son invertibles, de modo que un mensaje cifrado con la clave privada puede descifrarse con la clave pública. Esto se utiliza para firmar </w:t>
      </w:r>
      <w:r>
        <w:rPr>
          <w:rFonts w:ascii="Calibri" w:eastAsia="Calibri" w:hAnsi="Calibri" w:cs="Calibri"/>
          <w:sz w:val="22"/>
          <w:szCs w:val="22"/>
        </w:rPr>
        <w:lastRenderedPageBreak/>
        <w:t>mensajes y demostrar la autenticación, solo quien posee la clave privada pudo haber firmado la transacción. (</w:t>
      </w:r>
      <w:proofErr w:type="spellStart"/>
      <w:r>
        <w:rPr>
          <w:rFonts w:ascii="Calibri" w:eastAsia="Calibri" w:hAnsi="Calibri" w:cs="Calibri"/>
          <w:sz w:val="22"/>
          <w:szCs w:val="22"/>
        </w:rPr>
        <w:t>Provenzani</w:t>
      </w:r>
      <w:proofErr w:type="spellEnd"/>
      <w:r>
        <w:rPr>
          <w:rFonts w:ascii="Calibri" w:eastAsia="Calibri" w:hAnsi="Calibri" w:cs="Calibri"/>
          <w:sz w:val="22"/>
          <w:szCs w:val="22"/>
        </w:rPr>
        <w:t>, 2020)</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La llave pública actúa como la dirección de los </w:t>
      </w:r>
      <w:proofErr w:type="spellStart"/>
      <w:r>
        <w:rPr>
          <w:rFonts w:ascii="Calibri" w:eastAsia="Calibri" w:hAnsi="Calibri" w:cs="Calibri"/>
          <w:sz w:val="22"/>
          <w:szCs w:val="22"/>
        </w:rPr>
        <w:t>bitcoins</w:t>
      </w:r>
      <w:proofErr w:type="spellEnd"/>
      <w:r>
        <w:rPr>
          <w:rFonts w:ascii="Calibri" w:eastAsia="Calibri" w:hAnsi="Calibri" w:cs="Calibri"/>
          <w:sz w:val="22"/>
          <w:szCs w:val="22"/>
        </w:rPr>
        <w:t xml:space="preserve"> y la llave privada es la firma que válida las transacciones, que debe resguardarse en la </w:t>
      </w:r>
      <w:proofErr w:type="spellStart"/>
      <w:r>
        <w:rPr>
          <w:rFonts w:ascii="Calibri" w:eastAsia="Calibri" w:hAnsi="Calibri" w:cs="Calibri"/>
          <w:sz w:val="22"/>
          <w:szCs w:val="22"/>
        </w:rPr>
        <w:t>wallet</w:t>
      </w:r>
      <w:proofErr w:type="spellEnd"/>
      <w:r>
        <w:rPr>
          <w:rFonts w:ascii="Calibri" w:eastAsia="Calibri" w:hAnsi="Calibri" w:cs="Calibri"/>
          <w:sz w:val="22"/>
          <w:szCs w:val="22"/>
        </w:rPr>
        <w:t xml:space="preserve"> o billetera para poder operar.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Los mineros son participantes de la red, responsables de validar y agrupar las transacciones en bloques, retransmitirlas y registrarlas. Emplean un alto poder computacional para resolver </w:t>
      </w:r>
      <w:proofErr w:type="spellStart"/>
      <w:r>
        <w:rPr>
          <w:rFonts w:ascii="Calibri" w:eastAsia="Calibri" w:hAnsi="Calibri" w:cs="Calibri"/>
          <w:sz w:val="22"/>
          <w:szCs w:val="22"/>
        </w:rPr>
        <w:t>puzzles</w:t>
      </w:r>
      <w:proofErr w:type="spellEnd"/>
      <w:r>
        <w:rPr>
          <w:rFonts w:ascii="Calibri" w:eastAsia="Calibri" w:hAnsi="Calibri" w:cs="Calibri"/>
          <w:sz w:val="22"/>
          <w:szCs w:val="22"/>
        </w:rPr>
        <w:t xml:space="preserve"> criptográficos que permiten validar los bloques. El primero en resolverlo recibe una recompensa. Asimismo, reciben comisiones de los usuarios por cada transacción ejecutada. (</w:t>
      </w:r>
      <w:proofErr w:type="spellStart"/>
      <w:r>
        <w:rPr>
          <w:rFonts w:ascii="Calibri" w:eastAsia="Calibri" w:hAnsi="Calibri" w:cs="Calibri"/>
          <w:sz w:val="22"/>
          <w:szCs w:val="22"/>
        </w:rPr>
        <w:t>Provenzani</w:t>
      </w:r>
      <w:proofErr w:type="spellEnd"/>
      <w:r>
        <w:rPr>
          <w:rFonts w:ascii="Calibri" w:eastAsia="Calibri" w:hAnsi="Calibri" w:cs="Calibri"/>
          <w:sz w:val="22"/>
          <w:szCs w:val="22"/>
        </w:rPr>
        <w:t>, 2020)</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¿Cómo se pueden adquirir?</w:t>
      </w:r>
    </w:p>
    <w:p w:rsidR="002938F6" w:rsidRDefault="007211A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A través de un </w:t>
      </w:r>
      <w:proofErr w:type="spellStart"/>
      <w:r>
        <w:rPr>
          <w:rFonts w:ascii="Calibri" w:eastAsia="Calibri" w:hAnsi="Calibri" w:cs="Calibri"/>
          <w:color w:val="000000"/>
          <w:sz w:val="22"/>
          <w:szCs w:val="22"/>
        </w:rPr>
        <w:t>exchanger</w:t>
      </w:r>
      <w:proofErr w:type="spellEnd"/>
      <w:r>
        <w:rPr>
          <w:rFonts w:ascii="Calibri" w:eastAsia="Calibri" w:hAnsi="Calibri" w:cs="Calibri"/>
          <w:color w:val="000000"/>
          <w:sz w:val="22"/>
          <w:szCs w:val="22"/>
        </w:rPr>
        <w:t xml:space="preserve">/operador o cajeros: son compañías que actúan como intermediarios de sus clientes por operaciones regulares, percibiendo una comisión por su gestión. </w:t>
      </w:r>
    </w:p>
    <w:p w:rsidR="002938F6" w:rsidRDefault="007211A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Peer </w:t>
      </w:r>
      <w:proofErr w:type="spellStart"/>
      <w:r>
        <w:rPr>
          <w:rFonts w:ascii="Calibri" w:eastAsia="Calibri" w:hAnsi="Calibri" w:cs="Calibri"/>
          <w:color w:val="000000"/>
          <w:sz w:val="22"/>
          <w:szCs w:val="22"/>
        </w:rPr>
        <w:t>to</w:t>
      </w:r>
      <w:proofErr w:type="spellEnd"/>
      <w:r>
        <w:rPr>
          <w:rFonts w:ascii="Calibri" w:eastAsia="Calibri" w:hAnsi="Calibri" w:cs="Calibri"/>
          <w:color w:val="000000"/>
          <w:sz w:val="22"/>
          <w:szCs w:val="22"/>
        </w:rPr>
        <w:t xml:space="preserve"> peer (P2P): </w:t>
      </w:r>
      <w:r>
        <w:rPr>
          <w:rFonts w:ascii="Calibri" w:eastAsia="Calibri" w:hAnsi="Calibri" w:cs="Calibri"/>
          <w:sz w:val="22"/>
          <w:szCs w:val="22"/>
        </w:rPr>
        <w:t>compra directa a otra persona.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w:t>
      </w:r>
    </w:p>
    <w:p w:rsidR="002938F6" w:rsidRDefault="007211A5">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Minería de </w:t>
      </w:r>
      <w:proofErr w:type="spellStart"/>
      <w:r>
        <w:rPr>
          <w:rFonts w:ascii="Calibri" w:eastAsia="Calibri" w:hAnsi="Calibri" w:cs="Calibri"/>
          <w:color w:val="000000"/>
          <w:sz w:val="22"/>
          <w:szCs w:val="22"/>
        </w:rPr>
        <w:t>bitcoins</w:t>
      </w:r>
      <w:proofErr w:type="spellEnd"/>
      <w:r>
        <w:rPr>
          <w:rFonts w:ascii="Calibri" w:eastAsia="Calibri" w:hAnsi="Calibri" w:cs="Calibri"/>
          <w:color w:val="000000"/>
          <w:sz w:val="22"/>
          <w:szCs w:val="22"/>
        </w:rPr>
        <w:t>: el servicio de validación de los mineros se retribuye mediante la generación de nuevos bloques a modo de comisión. (</w:t>
      </w:r>
      <w:proofErr w:type="spellStart"/>
      <w:r>
        <w:rPr>
          <w:rFonts w:ascii="Calibri" w:eastAsia="Calibri" w:hAnsi="Calibri" w:cs="Calibri"/>
          <w:color w:val="000000"/>
          <w:sz w:val="22"/>
          <w:szCs w:val="22"/>
        </w:rPr>
        <w:t>Provenzani</w:t>
      </w:r>
      <w:proofErr w:type="spellEnd"/>
      <w:r>
        <w:rPr>
          <w:rFonts w:ascii="Calibri" w:eastAsia="Calibri" w:hAnsi="Calibri" w:cs="Calibri"/>
          <w:color w:val="000000"/>
          <w:sz w:val="22"/>
          <w:szCs w:val="22"/>
        </w:rPr>
        <w:t>, 2020)</w:t>
      </w:r>
    </w:p>
    <w:p w:rsidR="002938F6" w:rsidRDefault="002938F6">
      <w:pPr>
        <w:pBdr>
          <w:top w:val="nil"/>
          <w:left w:val="nil"/>
          <w:bottom w:val="nil"/>
          <w:right w:val="nil"/>
          <w:between w:val="nil"/>
        </w:pBd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Retomando el concepto de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conviene mencionar lo que significa </w:t>
      </w:r>
      <w:proofErr w:type="spellStart"/>
      <w:r>
        <w:rPr>
          <w:rFonts w:ascii="Calibri" w:eastAsia="Calibri" w:hAnsi="Calibri" w:cs="Calibri"/>
          <w:sz w:val="22"/>
          <w:szCs w:val="22"/>
        </w:rPr>
        <w:t>securitización</w:t>
      </w:r>
      <w:proofErr w:type="spellEnd"/>
      <w:r>
        <w:rPr>
          <w:rFonts w:ascii="Calibri" w:eastAsia="Calibri" w:hAnsi="Calibri" w:cs="Calibri"/>
          <w:sz w:val="22"/>
          <w:szCs w:val="22"/>
        </w:rPr>
        <w:t>. La “</w:t>
      </w:r>
      <w:proofErr w:type="spellStart"/>
      <w:r>
        <w:rPr>
          <w:rFonts w:ascii="Calibri" w:eastAsia="Calibri" w:hAnsi="Calibri" w:cs="Calibri"/>
          <w:sz w:val="22"/>
          <w:szCs w:val="22"/>
        </w:rPr>
        <w:t>securitización</w:t>
      </w:r>
      <w:proofErr w:type="spellEnd"/>
      <w:r>
        <w:rPr>
          <w:rFonts w:ascii="Calibri" w:eastAsia="Calibri" w:hAnsi="Calibri" w:cs="Calibri"/>
          <w:sz w:val="22"/>
          <w:szCs w:val="22"/>
        </w:rPr>
        <w:t>” es el proceso mediante el cual se agrupan obligaciones contractuales como hipotecas, préstamos para automóviles, deudas personales o cuentas por cobrar, y sus flujos de efectivo se venden como unidades estándar a los inversores. Desde principios de la década de 1970, este proceso se ha vuelto más común y se aplica ampliamente. Pero la "</w:t>
      </w:r>
      <w:proofErr w:type="spellStart"/>
      <w:r>
        <w:rPr>
          <w:rFonts w:ascii="Calibri" w:eastAsia="Calibri" w:hAnsi="Calibri" w:cs="Calibri"/>
          <w:sz w:val="22"/>
          <w:szCs w:val="22"/>
        </w:rPr>
        <w:t>tokenización</w:t>
      </w:r>
      <w:proofErr w:type="spellEnd"/>
      <w:r>
        <w:rPr>
          <w:rFonts w:ascii="Calibri" w:eastAsia="Calibri" w:hAnsi="Calibri" w:cs="Calibri"/>
          <w:sz w:val="22"/>
          <w:szCs w:val="22"/>
        </w:rPr>
        <w:t xml:space="preserve">" va un paso más allá. En lugar de reestructurar los flujos de efectivo como la </w:t>
      </w:r>
      <w:proofErr w:type="spellStart"/>
      <w:r>
        <w:rPr>
          <w:rFonts w:ascii="Calibri" w:eastAsia="Calibri" w:hAnsi="Calibri" w:cs="Calibri"/>
          <w:sz w:val="22"/>
          <w:szCs w:val="22"/>
        </w:rPr>
        <w:t>titulización</w:t>
      </w:r>
      <w:proofErr w:type="spellEnd"/>
      <w:r>
        <w:rPr>
          <w:rFonts w:ascii="Calibri" w:eastAsia="Calibri" w:hAnsi="Calibri" w:cs="Calibri"/>
          <w:sz w:val="22"/>
          <w:szCs w:val="22"/>
        </w:rPr>
        <w:t>, monetiza el "derecho de uso". (IBM, 2020)</w:t>
      </w:r>
    </w:p>
    <w:p w:rsidR="002938F6" w:rsidRDefault="002938F6">
      <w:pPr>
        <w:pBdr>
          <w:top w:val="nil"/>
          <w:left w:val="nil"/>
          <w:bottom w:val="nil"/>
          <w:right w:val="nil"/>
          <w:between w:val="nil"/>
        </w:pBd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La transparencia de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combinada con la conveniencia de realizar transacciones con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puede hacer que las clases de activos previamente no líquidas sean ahora más accesibles y atractivas. (IBM, 2020)</w:t>
      </w:r>
    </w:p>
    <w:p w:rsidR="002938F6" w:rsidRDefault="002938F6">
      <w:pPr>
        <w:pBdr>
          <w:top w:val="nil"/>
          <w:left w:val="nil"/>
          <w:bottom w:val="nil"/>
          <w:right w:val="nil"/>
          <w:between w:val="nil"/>
        </w:pBd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Se encontró que las distintas iniciativas comerciales utilizan los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para motivar a los usuarios a participar en su modelo de negocio y así lograr la capitalización del emprendimiento, a través de la venta de un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intercambiable en los mercados virtuales. (Roca, 2020)</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Al respecto, Ana M. </w:t>
      </w:r>
      <w:proofErr w:type="spellStart"/>
      <w:r>
        <w:rPr>
          <w:rFonts w:ascii="Calibri" w:eastAsia="Calibri" w:hAnsi="Calibri" w:cs="Calibri"/>
          <w:sz w:val="22"/>
          <w:szCs w:val="22"/>
        </w:rPr>
        <w:t>Cóccaro</w:t>
      </w:r>
      <w:proofErr w:type="spellEnd"/>
      <w:r>
        <w:rPr>
          <w:rFonts w:ascii="Calibri" w:eastAsia="Calibri" w:hAnsi="Calibri" w:cs="Calibri"/>
          <w:sz w:val="22"/>
          <w:szCs w:val="22"/>
        </w:rPr>
        <w:t xml:space="preserve"> (2021) afirmó que las monedas digitales valen mientras hay alguien que las compre y tienen justamente el valor de la falta de regulación.</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b/>
          <w:sz w:val="22"/>
          <w:szCs w:val="22"/>
        </w:rPr>
      </w:pPr>
      <w:r>
        <w:rPr>
          <w:rFonts w:ascii="Calibri" w:eastAsia="Calibri" w:hAnsi="Calibri" w:cs="Calibri"/>
          <w:b/>
          <w:sz w:val="22"/>
          <w:szCs w:val="22"/>
        </w:rPr>
        <w:t xml:space="preserve">El caso de la Bodega </w:t>
      </w:r>
      <w:proofErr w:type="spellStart"/>
      <w:r>
        <w:rPr>
          <w:rFonts w:ascii="Calibri" w:eastAsia="Calibri" w:hAnsi="Calibri" w:cs="Calibri"/>
          <w:b/>
          <w:sz w:val="22"/>
          <w:szCs w:val="22"/>
        </w:rPr>
        <w:t>Costaflores</w:t>
      </w:r>
      <w:proofErr w:type="spellEnd"/>
      <w:r>
        <w:rPr>
          <w:rFonts w:ascii="Calibri" w:eastAsia="Calibri" w:hAnsi="Calibri" w:cs="Calibri"/>
          <w:b/>
          <w:sz w:val="22"/>
          <w:szCs w:val="22"/>
        </w:rPr>
        <w:t>: "</w:t>
      </w:r>
      <w:proofErr w:type="spellStart"/>
      <w:r>
        <w:rPr>
          <w:rFonts w:ascii="Calibri" w:eastAsia="Calibri" w:hAnsi="Calibri" w:cs="Calibri"/>
          <w:b/>
          <w:sz w:val="22"/>
          <w:szCs w:val="22"/>
        </w:rPr>
        <w:t>You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Drink</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It</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You</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Own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It</w:t>
      </w:r>
      <w:proofErr w:type="spellEnd"/>
      <w:r>
        <w:rPr>
          <w:rFonts w:ascii="Calibri" w:eastAsia="Calibri" w:hAnsi="Calibri" w:cs="Calibri"/>
          <w:b/>
          <w:sz w:val="22"/>
          <w:szCs w:val="22"/>
        </w:rPr>
        <w:t>"</w:t>
      </w:r>
    </w:p>
    <w:p w:rsidR="002938F6" w:rsidRDefault="007211A5">
      <w:pPr>
        <w:jc w:val="both"/>
        <w:rPr>
          <w:rFonts w:ascii="Calibri" w:eastAsia="Calibri" w:hAnsi="Calibri" w:cs="Calibri"/>
          <w:sz w:val="22"/>
          <w:szCs w:val="22"/>
          <w:highlight w:val="white"/>
        </w:rPr>
      </w:pPr>
      <w:r>
        <w:rPr>
          <w:rFonts w:ascii="Calibri" w:eastAsia="Calibri" w:hAnsi="Calibri" w:cs="Calibri"/>
          <w:sz w:val="22"/>
          <w:szCs w:val="22"/>
        </w:rPr>
        <w:t xml:space="preserve">Por dar </w:t>
      </w:r>
      <w:r>
        <w:rPr>
          <w:rFonts w:ascii="Calibri" w:eastAsia="Calibri" w:hAnsi="Calibri" w:cs="Calibri"/>
          <w:sz w:val="22"/>
          <w:szCs w:val="22"/>
          <w:highlight w:val="white"/>
        </w:rPr>
        <w:t xml:space="preserve">un ejemplo local, podemos hablar de la Bodega </w:t>
      </w:r>
      <w:proofErr w:type="spellStart"/>
      <w:r>
        <w:rPr>
          <w:rFonts w:ascii="Calibri" w:eastAsia="Calibri" w:hAnsi="Calibri" w:cs="Calibri"/>
          <w:sz w:val="22"/>
          <w:szCs w:val="22"/>
          <w:highlight w:val="white"/>
        </w:rPr>
        <w:t>Costaflores</w:t>
      </w:r>
      <w:proofErr w:type="spellEnd"/>
      <w:r>
        <w:rPr>
          <w:rFonts w:ascii="Calibri" w:eastAsia="Calibri" w:hAnsi="Calibri" w:cs="Calibri"/>
          <w:sz w:val="22"/>
          <w:szCs w:val="22"/>
          <w:highlight w:val="white"/>
        </w:rPr>
        <w:t xml:space="preserve"> de Luján de Cuyo, provincia de Mendoza la cual en 2018 lanzó su propia </w:t>
      </w:r>
      <w:proofErr w:type="spellStart"/>
      <w:r>
        <w:rPr>
          <w:rFonts w:ascii="Calibri" w:eastAsia="Calibri" w:hAnsi="Calibri" w:cs="Calibri"/>
          <w:sz w:val="22"/>
          <w:szCs w:val="22"/>
          <w:highlight w:val="white"/>
        </w:rPr>
        <w:t>criptomoneda</w:t>
      </w:r>
      <w:proofErr w:type="spellEnd"/>
      <w:r>
        <w:rPr>
          <w:rFonts w:ascii="Calibri" w:eastAsia="Calibri" w:hAnsi="Calibri" w:cs="Calibri"/>
          <w:sz w:val="22"/>
          <w:szCs w:val="22"/>
          <w:highlight w:val="white"/>
        </w:rPr>
        <w:t xml:space="preserve"> basada en la botella de vino. </w:t>
      </w:r>
    </w:p>
    <w:p w:rsidR="002938F6" w:rsidRDefault="002938F6">
      <w:pPr>
        <w:jc w:val="both"/>
        <w:rPr>
          <w:rFonts w:ascii="Calibri" w:eastAsia="Calibri" w:hAnsi="Calibri" w:cs="Calibri"/>
          <w:sz w:val="22"/>
          <w:szCs w:val="22"/>
          <w:highlight w:val="white"/>
        </w:rPr>
      </w:pPr>
    </w:p>
    <w:p w:rsidR="002938F6" w:rsidRDefault="007211A5">
      <w:pPr>
        <w:jc w:val="both"/>
        <w:rPr>
          <w:rFonts w:ascii="Calibri" w:eastAsia="Calibri" w:hAnsi="Calibri" w:cs="Calibri"/>
          <w:sz w:val="22"/>
          <w:szCs w:val="22"/>
          <w:highlight w:val="white"/>
        </w:rPr>
      </w:pPr>
      <w:r>
        <w:rPr>
          <w:rFonts w:ascii="Calibri" w:eastAsia="Calibri" w:hAnsi="Calibri" w:cs="Calibri"/>
          <w:sz w:val="22"/>
          <w:szCs w:val="22"/>
          <w:highlight w:val="white"/>
        </w:rPr>
        <w:t>La nueva compañía llamada “</w:t>
      </w:r>
      <w:proofErr w:type="spellStart"/>
      <w:r>
        <w:rPr>
          <w:rFonts w:ascii="Calibri" w:eastAsia="Calibri" w:hAnsi="Calibri" w:cs="Calibri"/>
          <w:sz w:val="22"/>
          <w:szCs w:val="22"/>
          <w:highlight w:val="white"/>
        </w:rPr>
        <w:t>Openvino</w:t>
      </w:r>
      <w:proofErr w:type="spellEnd"/>
      <w:r>
        <w:rPr>
          <w:rFonts w:ascii="Calibri" w:eastAsia="Calibri" w:hAnsi="Calibri" w:cs="Calibri"/>
          <w:sz w:val="22"/>
          <w:szCs w:val="22"/>
          <w:highlight w:val="white"/>
        </w:rPr>
        <w:t xml:space="preserve">” persigue implementar un sistema de transparencia, </w:t>
      </w:r>
      <w:proofErr w:type="spellStart"/>
      <w:r>
        <w:rPr>
          <w:rFonts w:ascii="Calibri" w:eastAsia="Calibri" w:hAnsi="Calibri" w:cs="Calibri"/>
          <w:sz w:val="22"/>
          <w:szCs w:val="22"/>
          <w:highlight w:val="white"/>
        </w:rPr>
        <w:t>tokenización</w:t>
      </w:r>
      <w:proofErr w:type="spellEnd"/>
      <w:r>
        <w:rPr>
          <w:rFonts w:ascii="Calibri" w:eastAsia="Calibri" w:hAnsi="Calibri" w:cs="Calibri"/>
          <w:sz w:val="22"/>
          <w:szCs w:val="22"/>
          <w:highlight w:val="white"/>
        </w:rPr>
        <w:t xml:space="preserve"> y trazabilidad. De esta forma, las bodegas pueden emitir sus propios </w:t>
      </w:r>
      <w:proofErr w:type="spellStart"/>
      <w:r>
        <w:rPr>
          <w:rFonts w:ascii="Calibri" w:eastAsia="Calibri" w:hAnsi="Calibri" w:cs="Calibri"/>
          <w:sz w:val="22"/>
          <w:szCs w:val="22"/>
          <w:highlight w:val="white"/>
        </w:rPr>
        <w:t>criptoactivos</w:t>
      </w:r>
      <w:proofErr w:type="spellEnd"/>
      <w:r>
        <w:rPr>
          <w:rFonts w:ascii="Calibri" w:eastAsia="Calibri" w:hAnsi="Calibri" w:cs="Calibri"/>
          <w:sz w:val="22"/>
          <w:szCs w:val="22"/>
          <w:highlight w:val="white"/>
        </w:rPr>
        <w:t xml:space="preserve"> respaldados por botellas de vino. </w:t>
      </w:r>
    </w:p>
    <w:p w:rsidR="002938F6" w:rsidRDefault="007211A5">
      <w:pPr>
        <w:jc w:val="both"/>
        <w:rPr>
          <w:rFonts w:ascii="Calibri" w:eastAsia="Calibri" w:hAnsi="Calibri" w:cs="Calibri"/>
          <w:sz w:val="22"/>
          <w:szCs w:val="22"/>
          <w:highlight w:val="yellow"/>
        </w:rPr>
      </w:pPr>
      <w:r>
        <w:rPr>
          <w:rFonts w:ascii="Calibri" w:eastAsia="Calibri" w:hAnsi="Calibri" w:cs="Calibri"/>
          <w:sz w:val="22"/>
          <w:szCs w:val="22"/>
          <w:highlight w:val="white"/>
        </w:rPr>
        <w:t xml:space="preserve">La  compañía basa su </w:t>
      </w:r>
      <w:proofErr w:type="spellStart"/>
      <w:r>
        <w:rPr>
          <w:rFonts w:ascii="Calibri" w:eastAsia="Calibri" w:hAnsi="Calibri" w:cs="Calibri"/>
          <w:sz w:val="22"/>
          <w:szCs w:val="22"/>
          <w:highlight w:val="white"/>
        </w:rPr>
        <w:t>criptomoneda</w:t>
      </w:r>
      <w:proofErr w:type="spellEnd"/>
      <w:r>
        <w:rPr>
          <w:rFonts w:ascii="Calibri" w:eastAsia="Calibri" w:hAnsi="Calibri" w:cs="Calibri"/>
          <w:sz w:val="22"/>
          <w:szCs w:val="22"/>
          <w:highlight w:val="white"/>
        </w:rPr>
        <w:t xml:space="preserve"> en dos ejes: el primero está vinculada a que se publicará toda la información relacionada al funcionamiento de la bodega ya que los viñedos tienen sensores que recaban información tales como como las condiciones naturales de la bodega (temperatura, riego, humedad, luz solar), también se publican sus costos operativos, costos laborales y costos impositivos. El segundo eje, es que la cosecha se soporta con la moneda digital, cuya primera ICO (</w:t>
      </w:r>
      <w:proofErr w:type="spellStart"/>
      <w:r>
        <w:rPr>
          <w:rFonts w:ascii="Calibri" w:eastAsia="Calibri" w:hAnsi="Calibri" w:cs="Calibri"/>
          <w:sz w:val="22"/>
          <w:szCs w:val="22"/>
          <w:highlight w:val="white"/>
        </w:rPr>
        <w:t>Initial</w:t>
      </w:r>
      <w:proofErr w:type="spellEnd"/>
      <w:r>
        <w:rPr>
          <w:rFonts w:ascii="Calibri" w:eastAsia="Calibri" w:hAnsi="Calibri" w:cs="Calibri"/>
          <w:sz w:val="22"/>
          <w:szCs w:val="22"/>
          <w:highlight w:val="white"/>
        </w:rPr>
        <w:t xml:space="preserve"> </w:t>
      </w:r>
      <w:proofErr w:type="spellStart"/>
      <w:r>
        <w:rPr>
          <w:rFonts w:ascii="Calibri" w:eastAsia="Calibri" w:hAnsi="Calibri" w:cs="Calibri"/>
          <w:sz w:val="22"/>
          <w:szCs w:val="22"/>
          <w:highlight w:val="white"/>
        </w:rPr>
        <w:t>Coin</w:t>
      </w:r>
      <w:proofErr w:type="spellEnd"/>
      <w:r>
        <w:rPr>
          <w:rFonts w:ascii="Calibri" w:eastAsia="Calibri" w:hAnsi="Calibri" w:cs="Calibri"/>
          <w:sz w:val="22"/>
          <w:szCs w:val="22"/>
          <w:highlight w:val="white"/>
        </w:rPr>
        <w:t xml:space="preserve"> </w:t>
      </w:r>
      <w:proofErr w:type="spellStart"/>
      <w:r>
        <w:rPr>
          <w:rFonts w:ascii="Calibri" w:eastAsia="Calibri" w:hAnsi="Calibri" w:cs="Calibri"/>
          <w:sz w:val="22"/>
          <w:szCs w:val="22"/>
          <w:highlight w:val="white"/>
        </w:rPr>
        <w:t>Offering</w:t>
      </w:r>
      <w:proofErr w:type="spellEnd"/>
      <w:r>
        <w:rPr>
          <w:rFonts w:ascii="Calibri" w:eastAsia="Calibri" w:hAnsi="Calibri" w:cs="Calibri"/>
          <w:sz w:val="22"/>
          <w:szCs w:val="22"/>
          <w:highlight w:val="white"/>
        </w:rPr>
        <w:t>) se lanzó en 2018 y fue llamada “MTB 2018” cuya botella fue entregada en mayo 2021. (Lujan365, 2018)</w:t>
      </w:r>
    </w:p>
    <w:p w:rsidR="002938F6" w:rsidRDefault="007211A5">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La plataforma en la que se presenta la información, se basa en la </w:t>
      </w:r>
      <w:proofErr w:type="spellStart"/>
      <w:r>
        <w:rPr>
          <w:rFonts w:ascii="Calibri" w:eastAsia="Calibri" w:hAnsi="Calibri" w:cs="Calibri"/>
          <w:sz w:val="22"/>
          <w:szCs w:val="22"/>
          <w:highlight w:val="white"/>
        </w:rPr>
        <w:t>blockchain</w:t>
      </w:r>
      <w:proofErr w:type="spellEnd"/>
      <w:r>
        <w:rPr>
          <w:rFonts w:ascii="Calibri" w:eastAsia="Calibri" w:hAnsi="Calibri" w:cs="Calibri"/>
          <w:sz w:val="22"/>
          <w:szCs w:val="22"/>
          <w:highlight w:val="white"/>
        </w:rPr>
        <w:t xml:space="preserve"> o cadena de bloques que consiste en bases de datos públicas y guardadas en varias computadoras, un sistema que impide </w:t>
      </w:r>
      <w:r>
        <w:rPr>
          <w:rFonts w:ascii="Calibri" w:eastAsia="Calibri" w:hAnsi="Calibri" w:cs="Calibri"/>
          <w:sz w:val="22"/>
          <w:szCs w:val="22"/>
          <w:highlight w:val="white"/>
        </w:rPr>
        <w:lastRenderedPageBreak/>
        <w:t xml:space="preserve">que la información pueda ser alterada, y con el que pretende que sus clientes confíen en la calidad de su producto certificado como orgánico y en el precio de sus </w:t>
      </w:r>
      <w:proofErr w:type="spellStart"/>
      <w:r>
        <w:rPr>
          <w:rFonts w:ascii="Calibri" w:eastAsia="Calibri" w:hAnsi="Calibri" w:cs="Calibri"/>
          <w:sz w:val="22"/>
          <w:szCs w:val="22"/>
          <w:highlight w:val="white"/>
        </w:rPr>
        <w:t>criptomonedas</w:t>
      </w:r>
      <w:proofErr w:type="spellEnd"/>
      <w:r>
        <w:rPr>
          <w:rFonts w:ascii="Calibri" w:eastAsia="Calibri" w:hAnsi="Calibri" w:cs="Calibri"/>
          <w:sz w:val="22"/>
          <w:szCs w:val="22"/>
          <w:highlight w:val="white"/>
        </w:rPr>
        <w:t>. (Caamaño, 2018)</w:t>
      </w:r>
    </w:p>
    <w:p w:rsidR="002938F6" w:rsidRDefault="002938F6">
      <w:pPr>
        <w:jc w:val="both"/>
        <w:rPr>
          <w:rFonts w:ascii="Calibri" w:eastAsia="Calibri" w:hAnsi="Calibri" w:cs="Calibri"/>
          <w:sz w:val="22"/>
          <w:szCs w:val="22"/>
          <w:highlight w:val="white"/>
        </w:rPr>
      </w:pPr>
    </w:p>
    <w:p w:rsidR="002938F6" w:rsidRDefault="007211A5">
      <w:pPr>
        <w:jc w:val="both"/>
        <w:rPr>
          <w:rFonts w:ascii="Calibri" w:eastAsia="Calibri" w:hAnsi="Calibri" w:cs="Calibri"/>
          <w:sz w:val="22"/>
          <w:szCs w:val="22"/>
          <w:highlight w:val="white"/>
        </w:rPr>
      </w:pPr>
      <w:r>
        <w:rPr>
          <w:rFonts w:ascii="Calibri" w:eastAsia="Calibri" w:hAnsi="Calibri" w:cs="Calibri"/>
          <w:sz w:val="22"/>
          <w:szCs w:val="22"/>
          <w:highlight w:val="white"/>
        </w:rPr>
        <w:t xml:space="preserve">Para el fundador de </w:t>
      </w:r>
      <w:proofErr w:type="spellStart"/>
      <w:r>
        <w:rPr>
          <w:rFonts w:ascii="Calibri" w:eastAsia="Calibri" w:hAnsi="Calibri" w:cs="Calibri"/>
          <w:sz w:val="22"/>
          <w:szCs w:val="22"/>
          <w:highlight w:val="white"/>
        </w:rPr>
        <w:t>Costaflores</w:t>
      </w:r>
      <w:proofErr w:type="spellEnd"/>
      <w:r>
        <w:rPr>
          <w:rFonts w:ascii="Calibri" w:eastAsia="Calibri" w:hAnsi="Calibri" w:cs="Calibri"/>
          <w:sz w:val="22"/>
          <w:szCs w:val="22"/>
          <w:highlight w:val="white"/>
        </w:rPr>
        <w:t xml:space="preserve">, hay tres grupos diferentes en adquirir la </w:t>
      </w:r>
      <w:proofErr w:type="spellStart"/>
      <w:r>
        <w:rPr>
          <w:rFonts w:ascii="Calibri" w:eastAsia="Calibri" w:hAnsi="Calibri" w:cs="Calibri"/>
          <w:sz w:val="22"/>
          <w:szCs w:val="22"/>
          <w:highlight w:val="white"/>
        </w:rPr>
        <w:t>criptomoneda</w:t>
      </w:r>
      <w:proofErr w:type="spellEnd"/>
      <w:r>
        <w:rPr>
          <w:rFonts w:ascii="Calibri" w:eastAsia="Calibri" w:hAnsi="Calibri" w:cs="Calibri"/>
          <w:sz w:val="22"/>
          <w:szCs w:val="22"/>
          <w:highlight w:val="white"/>
        </w:rPr>
        <w:t xml:space="preserve">: aquellos interesados en el mundo del vino que comprarán MTB 2018 para hacerse de la botella en tres años y comprar a menos costo; luego, estarán aquellos interesados en especular con el valor de los </w:t>
      </w:r>
      <w:proofErr w:type="spellStart"/>
      <w:r>
        <w:rPr>
          <w:rFonts w:ascii="Calibri" w:eastAsia="Calibri" w:hAnsi="Calibri" w:cs="Calibri"/>
          <w:sz w:val="22"/>
          <w:szCs w:val="22"/>
          <w:highlight w:val="white"/>
        </w:rPr>
        <w:t>tokens</w:t>
      </w:r>
      <w:proofErr w:type="spellEnd"/>
      <w:r>
        <w:rPr>
          <w:rFonts w:ascii="Calibri" w:eastAsia="Calibri" w:hAnsi="Calibri" w:cs="Calibri"/>
          <w:sz w:val="22"/>
          <w:szCs w:val="22"/>
          <w:highlight w:val="white"/>
        </w:rPr>
        <w:t xml:space="preserve">, es decir quienes comprarán y venderán según la fluctuación de los precios; y por último, quienes no tienen interés en la </w:t>
      </w:r>
      <w:proofErr w:type="spellStart"/>
      <w:r>
        <w:rPr>
          <w:rFonts w:ascii="Calibri" w:eastAsia="Calibri" w:hAnsi="Calibri" w:cs="Calibri"/>
          <w:sz w:val="22"/>
          <w:szCs w:val="22"/>
          <w:highlight w:val="white"/>
        </w:rPr>
        <w:t>criptomoneda</w:t>
      </w:r>
      <w:proofErr w:type="spellEnd"/>
      <w:r>
        <w:rPr>
          <w:rFonts w:ascii="Calibri" w:eastAsia="Calibri" w:hAnsi="Calibri" w:cs="Calibri"/>
          <w:sz w:val="22"/>
          <w:szCs w:val="22"/>
          <w:highlight w:val="white"/>
        </w:rPr>
        <w:t xml:space="preserve"> y solo quieran comprar el vino en 2021. (Lujan365, 2018)</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b/>
          <w:sz w:val="22"/>
          <w:szCs w:val="22"/>
        </w:rPr>
      </w:pPr>
      <w:r>
        <w:rPr>
          <w:rFonts w:ascii="Calibri" w:eastAsia="Calibri" w:hAnsi="Calibri" w:cs="Calibri"/>
          <w:b/>
          <w:sz w:val="22"/>
          <w:szCs w:val="22"/>
        </w:rPr>
        <w:t xml:space="preserve">Contabilización de </w:t>
      </w:r>
      <w:proofErr w:type="spellStart"/>
      <w:r>
        <w:rPr>
          <w:rFonts w:ascii="Calibri" w:eastAsia="Calibri" w:hAnsi="Calibri" w:cs="Calibri"/>
          <w:b/>
          <w:sz w:val="22"/>
          <w:szCs w:val="22"/>
        </w:rPr>
        <w:t>criptoactivos</w:t>
      </w:r>
      <w:proofErr w:type="spellEnd"/>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Habiendo abarcado los conceptos básicos de este tipo de activos podemos comenzar a analizar la conceptualización y reflejo contable de los mismos en normas contables argentinas </w:t>
      </w:r>
      <w:proofErr w:type="spellStart"/>
      <w:r>
        <w:rPr>
          <w:rFonts w:ascii="Calibri" w:eastAsia="Calibri" w:hAnsi="Calibri" w:cs="Calibri"/>
          <w:sz w:val="22"/>
          <w:szCs w:val="22"/>
        </w:rPr>
        <w:t>como</w:t>
      </w:r>
      <w:proofErr w:type="spellEnd"/>
      <w:r>
        <w:rPr>
          <w:rFonts w:ascii="Calibri" w:eastAsia="Calibri" w:hAnsi="Calibri" w:cs="Calibri"/>
          <w:sz w:val="22"/>
          <w:szCs w:val="22"/>
        </w:rPr>
        <w:t xml:space="preserve"> y en normas internacionales. La doctrina ha avanzado en cuanto al análisis respecto de la exposición en el Estado de Situación Patrimonial, según detallaremos a continuación. </w:t>
      </w:r>
    </w:p>
    <w:p w:rsidR="002938F6" w:rsidRDefault="002938F6">
      <w:pPr>
        <w:jc w:val="both"/>
        <w:rPr>
          <w:rFonts w:ascii="Calibri" w:eastAsia="Calibri" w:hAnsi="Calibri" w:cs="Calibri"/>
          <w:sz w:val="22"/>
          <w:szCs w:val="22"/>
        </w:rPr>
      </w:pPr>
    </w:p>
    <w:p w:rsidR="002938F6" w:rsidRDefault="007211A5">
      <w:pPr>
        <w:numPr>
          <w:ilvl w:val="0"/>
          <w:numId w:val="8"/>
        </w:numPr>
        <w:jc w:val="both"/>
        <w:rPr>
          <w:rFonts w:ascii="Calibri" w:eastAsia="Calibri" w:hAnsi="Calibri" w:cs="Calibri"/>
          <w:b/>
          <w:sz w:val="22"/>
          <w:szCs w:val="22"/>
        </w:rPr>
      </w:pPr>
      <w:r>
        <w:rPr>
          <w:rFonts w:ascii="Calibri" w:eastAsia="Calibri" w:hAnsi="Calibri" w:cs="Calibri"/>
          <w:b/>
          <w:sz w:val="22"/>
          <w:szCs w:val="22"/>
        </w:rPr>
        <w:t>Efectivo o disponibilidades</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Según la Resolución Técnica 9 (FACPCE), el rubro Caja y Bancos incluye el dinero en efectivo en caja y bancos del país y del exterior y otros valores de poder </w:t>
      </w:r>
      <w:proofErr w:type="spellStart"/>
      <w:r>
        <w:rPr>
          <w:rFonts w:ascii="Calibri" w:eastAsia="Calibri" w:hAnsi="Calibri" w:cs="Calibri"/>
          <w:sz w:val="22"/>
          <w:szCs w:val="22"/>
        </w:rPr>
        <w:t>cancelatorio</w:t>
      </w:r>
      <w:proofErr w:type="spellEnd"/>
      <w:r>
        <w:rPr>
          <w:rFonts w:ascii="Calibri" w:eastAsia="Calibri" w:hAnsi="Calibri" w:cs="Calibri"/>
          <w:sz w:val="22"/>
          <w:szCs w:val="22"/>
        </w:rPr>
        <w:t xml:space="preserve"> y liquidez similar.</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En principio, el tenedor de una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no tiene dinero en efectivo o el derecho a obtener el mismo; tiene una clave de una dirección en una cadena de bloques que puede ser usada para facilitar los intercambios peer </w:t>
      </w:r>
      <w:proofErr w:type="spellStart"/>
      <w:r>
        <w:rPr>
          <w:rFonts w:ascii="Calibri" w:eastAsia="Calibri" w:hAnsi="Calibri" w:cs="Calibri"/>
          <w:sz w:val="22"/>
          <w:szCs w:val="22"/>
        </w:rPr>
        <w:t>to</w:t>
      </w:r>
      <w:proofErr w:type="spellEnd"/>
      <w:r>
        <w:rPr>
          <w:rFonts w:ascii="Calibri" w:eastAsia="Calibri" w:hAnsi="Calibri" w:cs="Calibri"/>
          <w:sz w:val="22"/>
          <w:szCs w:val="22"/>
        </w:rPr>
        <w:t xml:space="preserve"> peer. (</w:t>
      </w:r>
      <w:proofErr w:type="spellStart"/>
      <w:r>
        <w:rPr>
          <w:rFonts w:ascii="Calibri" w:eastAsia="Calibri" w:hAnsi="Calibri" w:cs="Calibri"/>
          <w:sz w:val="22"/>
          <w:szCs w:val="22"/>
        </w:rPr>
        <w:t>Deloitte</w:t>
      </w:r>
      <w:proofErr w:type="spellEnd"/>
      <w:r>
        <w:rPr>
          <w:rFonts w:ascii="Calibri" w:eastAsia="Calibri" w:hAnsi="Calibri" w:cs="Calibri"/>
          <w:sz w:val="22"/>
          <w:szCs w:val="22"/>
        </w:rPr>
        <w:t>, 2020)</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Por otro lado, la partida debe tener liquidez inmediata y poder </w:t>
      </w:r>
      <w:proofErr w:type="spellStart"/>
      <w:r>
        <w:rPr>
          <w:rFonts w:ascii="Calibri" w:eastAsia="Calibri" w:hAnsi="Calibri" w:cs="Calibri"/>
          <w:sz w:val="22"/>
          <w:szCs w:val="22"/>
        </w:rPr>
        <w:t>cancelatorio</w:t>
      </w:r>
      <w:proofErr w:type="spellEnd"/>
      <w:r>
        <w:rPr>
          <w:rFonts w:ascii="Calibri" w:eastAsia="Calibri" w:hAnsi="Calibri" w:cs="Calibri"/>
          <w:sz w:val="22"/>
          <w:szCs w:val="22"/>
        </w:rPr>
        <w:t xml:space="preserve">, en este sentido, si la empresa trabaja con clientes y proveedores que habitualmente operan o aceptan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podría considerarse como moneda. Incluso podríamos asimilar a la moneda extranjera, pero hay una diferencia importante, y la misma es que no se encuentran reguladas ni son consideradas moneda de curso legal.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En relación a las normas internacionales,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no satisfacen la definición de equivalentes de efectivo contenida en el IAS 7 ya que no son fácilmente convertibles a “cantidades conocidas de efectivo.” Adicionalmente, la volatilidad de los precios de la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es inconsistente con el requerimiento de que los equivalentes de efectivo puedan estar sujetos sólo a riesgo insignificante de cambios en el valor. (</w:t>
      </w:r>
      <w:proofErr w:type="spellStart"/>
      <w:r>
        <w:rPr>
          <w:rFonts w:ascii="Calibri" w:eastAsia="Calibri" w:hAnsi="Calibri" w:cs="Calibri"/>
          <w:sz w:val="22"/>
          <w:szCs w:val="22"/>
        </w:rPr>
        <w:t>Deloitte</w:t>
      </w:r>
      <w:proofErr w:type="spellEnd"/>
      <w:r>
        <w:rPr>
          <w:rFonts w:ascii="Calibri" w:eastAsia="Calibri" w:hAnsi="Calibri" w:cs="Calibri"/>
          <w:sz w:val="22"/>
          <w:szCs w:val="22"/>
        </w:rPr>
        <w:t>, 2020)  </w:t>
      </w:r>
    </w:p>
    <w:p w:rsidR="002938F6" w:rsidRDefault="002938F6">
      <w:pPr>
        <w:jc w:val="both"/>
        <w:rPr>
          <w:rFonts w:ascii="Calibri" w:eastAsia="Calibri" w:hAnsi="Calibri" w:cs="Calibri"/>
          <w:sz w:val="22"/>
          <w:szCs w:val="22"/>
        </w:rPr>
      </w:pPr>
    </w:p>
    <w:p w:rsidR="002938F6" w:rsidRDefault="007211A5">
      <w:pPr>
        <w:numPr>
          <w:ilvl w:val="0"/>
          <w:numId w:val="2"/>
        </w:numPr>
        <w:jc w:val="both"/>
        <w:rPr>
          <w:rFonts w:ascii="Calibri" w:eastAsia="Calibri" w:hAnsi="Calibri" w:cs="Calibri"/>
          <w:b/>
          <w:sz w:val="22"/>
          <w:szCs w:val="22"/>
        </w:rPr>
      </w:pPr>
      <w:r>
        <w:rPr>
          <w:rFonts w:ascii="Calibri" w:eastAsia="Calibri" w:hAnsi="Calibri" w:cs="Calibri"/>
          <w:b/>
          <w:sz w:val="22"/>
          <w:szCs w:val="22"/>
        </w:rPr>
        <w:t>Inversiones</w:t>
      </w:r>
    </w:p>
    <w:p w:rsidR="002938F6" w:rsidRDefault="007211A5">
      <w:pPr>
        <w:jc w:val="both"/>
        <w:rPr>
          <w:rFonts w:ascii="Calibri" w:eastAsia="Calibri" w:hAnsi="Calibri" w:cs="Calibri"/>
          <w:sz w:val="22"/>
          <w:szCs w:val="22"/>
        </w:rPr>
      </w:pPr>
      <w:r>
        <w:rPr>
          <w:rFonts w:ascii="Calibri" w:eastAsia="Calibri" w:hAnsi="Calibri" w:cs="Calibri"/>
          <w:sz w:val="22"/>
          <w:szCs w:val="22"/>
        </w:rPr>
        <w:t>El rubro de inversiones se compone de colocaciones realizadas con el ánimo de obtener un beneficio o renta que no forman parte de los activos dedicados a la actividad principal del ente. (Resolución Técnica 9, FACPCE)</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Podría considerarse a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dentro de este rubro cuando se utilizan con fines especulativos apostando al crecimiento de su valor. Asimismo, existen colocaciones y préstamos DAI que permiten la obtención de rendimientos financieros.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w:t>
      </w:r>
    </w:p>
    <w:p w:rsidR="002938F6" w:rsidRDefault="002938F6">
      <w:pPr>
        <w:jc w:val="both"/>
        <w:rPr>
          <w:rFonts w:ascii="Calibri" w:eastAsia="Calibri" w:hAnsi="Calibri" w:cs="Calibri"/>
          <w:sz w:val="22"/>
          <w:szCs w:val="22"/>
        </w:rPr>
      </w:pPr>
    </w:p>
    <w:p w:rsidR="002938F6" w:rsidRDefault="007211A5">
      <w:pPr>
        <w:numPr>
          <w:ilvl w:val="0"/>
          <w:numId w:val="4"/>
        </w:numPr>
        <w:jc w:val="both"/>
        <w:rPr>
          <w:rFonts w:ascii="Calibri" w:eastAsia="Calibri" w:hAnsi="Calibri" w:cs="Calibri"/>
          <w:b/>
          <w:sz w:val="22"/>
          <w:szCs w:val="22"/>
        </w:rPr>
      </w:pPr>
      <w:r>
        <w:rPr>
          <w:rFonts w:ascii="Calibri" w:eastAsia="Calibri" w:hAnsi="Calibri" w:cs="Calibri"/>
          <w:b/>
          <w:sz w:val="22"/>
          <w:szCs w:val="22"/>
        </w:rPr>
        <w:t>Intangibles</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Comité de Interpretaciones NIIF (CINIIF) en 2019 emitió una opinión considerando a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como parte de los activos intangibles. Es decir, aquellos que no poseen sustancia física y le brindan a su propietario derechos o beneficios económicos, pudiendo haber sido adquiridos o desarrollados.</w:t>
      </w:r>
    </w:p>
    <w:p w:rsidR="002938F6" w:rsidRDefault="007211A5">
      <w:pPr>
        <w:jc w:val="both"/>
        <w:rPr>
          <w:rFonts w:ascii="Calibri" w:eastAsia="Calibri" w:hAnsi="Calibri" w:cs="Calibri"/>
          <w:sz w:val="22"/>
          <w:szCs w:val="22"/>
        </w:rPr>
      </w:pPr>
      <w:r>
        <w:rPr>
          <w:rFonts w:ascii="Calibri" w:eastAsia="Calibri" w:hAnsi="Calibri" w:cs="Calibri"/>
          <w:sz w:val="22"/>
          <w:szCs w:val="22"/>
        </w:rPr>
        <w:t>Asimismo, el párrafo 16 de la NIC 21, define que la característica esencial de una partida monetaria es el derecho a recibir (o la obligación de entregar) una cantidad fija o determinable de unidades monetarias; mientras que la característica esencial de una partida no monetaria es la ausencia de un derecho a recibir (o una obligación de entregar) una cantidad fija o determinable de unidades monetarias -y como ejemplo menciona a los activos intangibles-.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En base a estas características, el CINIIF concluyó que la tenencia de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calificaría como tenencia de un activo intangible, dado que: son capaces de ser separadas de su titular y vendidas o </w:t>
      </w:r>
      <w:r>
        <w:rPr>
          <w:rFonts w:ascii="Calibri" w:eastAsia="Calibri" w:hAnsi="Calibri" w:cs="Calibri"/>
          <w:sz w:val="22"/>
          <w:szCs w:val="22"/>
        </w:rPr>
        <w:lastRenderedPageBreak/>
        <w:t>transferidas en forma individual; y, a su vez, no le dan a su titular el derecho a recibir una cantidad fija o determinable de unidades monetarias.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Sin embargo, dentro de los conceptos contables se consideran que los mismos tienen propiedades similares a los bienes de uso en cuanto a que son empleados en la actividad principal del ente y tienen una capacidad de servicio que se agota con el transcurso del tiempo, lo cual volvería cuestionable la inclusión de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en dicho rubro.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w:t>
      </w:r>
    </w:p>
    <w:p w:rsidR="002938F6" w:rsidRDefault="007211A5">
      <w:pPr>
        <w:jc w:val="both"/>
        <w:rPr>
          <w:rFonts w:ascii="Calibri" w:eastAsia="Calibri" w:hAnsi="Calibri" w:cs="Calibri"/>
          <w:sz w:val="22"/>
          <w:szCs w:val="22"/>
        </w:rPr>
      </w:pPr>
      <w:proofErr w:type="spellStart"/>
      <w:r>
        <w:rPr>
          <w:rFonts w:ascii="Calibri" w:eastAsia="Calibri" w:hAnsi="Calibri" w:cs="Calibri"/>
          <w:sz w:val="22"/>
          <w:szCs w:val="22"/>
        </w:rPr>
        <w:t>Fowler</w:t>
      </w:r>
      <w:proofErr w:type="spellEnd"/>
      <w:r>
        <w:rPr>
          <w:rFonts w:ascii="Calibri" w:eastAsia="Calibri" w:hAnsi="Calibri" w:cs="Calibri"/>
          <w:sz w:val="22"/>
          <w:szCs w:val="22"/>
        </w:rPr>
        <w:t xml:space="preserve"> Newton (2010) por su parte considera que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no podrían calificar como intangibles, dado que no son adquiridas para la utilización en la actividad principal de la empresa.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w:t>
      </w:r>
    </w:p>
    <w:p w:rsidR="002938F6" w:rsidRDefault="002938F6">
      <w:pPr>
        <w:jc w:val="both"/>
        <w:rPr>
          <w:rFonts w:ascii="Calibri" w:eastAsia="Calibri" w:hAnsi="Calibri" w:cs="Calibri"/>
          <w:sz w:val="22"/>
          <w:szCs w:val="22"/>
        </w:rPr>
      </w:pPr>
    </w:p>
    <w:p w:rsidR="002938F6" w:rsidRDefault="007211A5">
      <w:pPr>
        <w:numPr>
          <w:ilvl w:val="0"/>
          <w:numId w:val="5"/>
        </w:numPr>
        <w:jc w:val="both"/>
        <w:rPr>
          <w:rFonts w:ascii="Calibri" w:eastAsia="Calibri" w:hAnsi="Calibri" w:cs="Calibri"/>
          <w:b/>
          <w:sz w:val="22"/>
          <w:szCs w:val="22"/>
        </w:rPr>
      </w:pPr>
      <w:r>
        <w:rPr>
          <w:rFonts w:ascii="Calibri" w:eastAsia="Calibri" w:hAnsi="Calibri" w:cs="Calibri"/>
          <w:b/>
          <w:sz w:val="22"/>
          <w:szCs w:val="22"/>
        </w:rPr>
        <w:t>Bienes de cambio</w:t>
      </w:r>
    </w:p>
    <w:p w:rsidR="002938F6" w:rsidRDefault="007211A5">
      <w:pPr>
        <w:jc w:val="both"/>
        <w:rPr>
          <w:rFonts w:ascii="Calibri" w:eastAsia="Calibri" w:hAnsi="Calibri" w:cs="Calibri"/>
          <w:sz w:val="22"/>
          <w:szCs w:val="22"/>
        </w:rPr>
      </w:pPr>
      <w:r>
        <w:rPr>
          <w:rFonts w:ascii="Calibri" w:eastAsia="Calibri" w:hAnsi="Calibri" w:cs="Calibri"/>
          <w:sz w:val="22"/>
          <w:szCs w:val="22"/>
        </w:rPr>
        <w:t>Si el ente se dedica a la comercialización de estos activos no cabría dudas que debería formar parte de bienes de cambio.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CINIIF sostuvo que en aquellas circunstancias en que una entidad mantenga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para la venta en el curso normal de su negocio éstas podrían considerarse como inventario, según lo estipulado por la NIC 21.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Este entendimiento permitiría concluir que la inclusión en uno u otro rubro depende de su destino más probable. </w:t>
      </w:r>
    </w:p>
    <w:p w:rsidR="002938F6" w:rsidRDefault="002938F6">
      <w:pPr>
        <w:jc w:val="both"/>
        <w:rPr>
          <w:rFonts w:ascii="Calibri" w:eastAsia="Calibri" w:hAnsi="Calibri" w:cs="Calibri"/>
          <w:sz w:val="22"/>
          <w:szCs w:val="22"/>
        </w:rPr>
      </w:pPr>
    </w:p>
    <w:p w:rsidR="002938F6" w:rsidRDefault="007211A5">
      <w:pPr>
        <w:numPr>
          <w:ilvl w:val="0"/>
          <w:numId w:val="9"/>
        </w:numPr>
        <w:jc w:val="both"/>
        <w:rPr>
          <w:rFonts w:ascii="Calibri" w:eastAsia="Calibri" w:hAnsi="Calibri" w:cs="Calibri"/>
          <w:b/>
          <w:sz w:val="22"/>
          <w:szCs w:val="22"/>
        </w:rPr>
      </w:pPr>
      <w:r>
        <w:rPr>
          <w:rFonts w:ascii="Calibri" w:eastAsia="Calibri" w:hAnsi="Calibri" w:cs="Calibri"/>
          <w:b/>
          <w:sz w:val="22"/>
          <w:szCs w:val="22"/>
        </w:rPr>
        <w:t>Otras consideraciones patrimoniales</w:t>
      </w:r>
    </w:p>
    <w:p w:rsidR="002938F6" w:rsidRDefault="007211A5">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Existen otro tipo de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como, por ejemplo, las </w:t>
      </w:r>
      <w:proofErr w:type="spellStart"/>
      <w:r>
        <w:rPr>
          <w:rFonts w:ascii="Calibri" w:eastAsia="Calibri" w:hAnsi="Calibri" w:cs="Calibri"/>
          <w:sz w:val="22"/>
          <w:szCs w:val="22"/>
        </w:rPr>
        <w:t>stablecoin</w:t>
      </w:r>
      <w:proofErr w:type="spellEnd"/>
      <w:r>
        <w:rPr>
          <w:rFonts w:ascii="Calibri" w:eastAsia="Calibri" w:hAnsi="Calibri" w:cs="Calibri"/>
          <w:sz w:val="22"/>
          <w:szCs w:val="22"/>
        </w:rPr>
        <w:t xml:space="preserve"> o los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que en muchos casos poseen un activo subyacente que puede ser otro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o, incluso, alguna divisa o materia prima. Y en estos casos deberá estudiarse en forma particular el tratamiento contable a aplicar.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w:t>
      </w:r>
    </w:p>
    <w:p w:rsidR="002938F6" w:rsidRDefault="007211A5">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La RT 16 además estipula que los estados contables deben presentar descripciones y mediciones que guarden una correspondencia razonable con los fenómenos que pretenden describir, es decir, deben ser aproximados a la realidad. (</w:t>
      </w:r>
      <w:proofErr w:type="spellStart"/>
      <w:r>
        <w:rPr>
          <w:rFonts w:ascii="Calibri" w:eastAsia="Calibri" w:hAnsi="Calibri" w:cs="Calibri"/>
          <w:sz w:val="22"/>
          <w:szCs w:val="22"/>
        </w:rPr>
        <w:t>Zocaro</w:t>
      </w:r>
      <w:proofErr w:type="spellEnd"/>
      <w:r>
        <w:rPr>
          <w:rFonts w:ascii="Calibri" w:eastAsia="Calibri" w:hAnsi="Calibri" w:cs="Calibri"/>
          <w:sz w:val="22"/>
          <w:szCs w:val="22"/>
        </w:rPr>
        <w:t>, 2020)</w:t>
      </w:r>
    </w:p>
    <w:p w:rsidR="002938F6" w:rsidRDefault="002938F6">
      <w:pPr>
        <w:pBdr>
          <w:top w:val="nil"/>
          <w:left w:val="nil"/>
          <w:bottom w:val="nil"/>
          <w:right w:val="nil"/>
          <w:between w:val="nil"/>
        </w:pBdr>
        <w:jc w:val="both"/>
        <w:rPr>
          <w:rFonts w:ascii="Calibri" w:eastAsia="Calibri" w:hAnsi="Calibri" w:cs="Calibri"/>
          <w:sz w:val="22"/>
          <w:szCs w:val="22"/>
        </w:rPr>
      </w:pPr>
    </w:p>
    <w:p w:rsidR="002938F6" w:rsidRDefault="007211A5">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Dadas las características únicas de este tipo de activos, tampoco debería descartarse la definición de un nuevo rubro, aunque ello excede el alcance de este trabajo. Por citar un ejemplo en la doctrina,  Miguel Casal (2020) afirma que debería crearse una unidad de cuenta separada para el reconocimiento, medición y revelación de transacciones y otros eventos o sucesos que tengan relación con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w:t>
      </w:r>
    </w:p>
    <w:p w:rsidR="002938F6" w:rsidRDefault="002938F6">
      <w:pPr>
        <w:jc w:val="both"/>
        <w:rPr>
          <w:rFonts w:ascii="Calibri" w:eastAsia="Calibri" w:hAnsi="Calibri" w:cs="Calibri"/>
          <w:sz w:val="22"/>
          <w:szCs w:val="22"/>
        </w:rPr>
      </w:pPr>
    </w:p>
    <w:p w:rsidR="002938F6" w:rsidRDefault="007211A5">
      <w:pPr>
        <w:numPr>
          <w:ilvl w:val="0"/>
          <w:numId w:val="6"/>
        </w:numPr>
        <w:jc w:val="both"/>
        <w:rPr>
          <w:rFonts w:ascii="Calibri" w:eastAsia="Calibri" w:hAnsi="Calibri" w:cs="Calibri"/>
          <w:b/>
          <w:sz w:val="22"/>
          <w:szCs w:val="22"/>
        </w:rPr>
      </w:pPr>
      <w:r>
        <w:rPr>
          <w:rFonts w:ascii="Calibri" w:eastAsia="Calibri" w:hAnsi="Calibri" w:cs="Calibri"/>
          <w:b/>
          <w:sz w:val="22"/>
          <w:szCs w:val="22"/>
        </w:rPr>
        <w:t>Resultados</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En normas contables profesionales argentinas, el trabajo de </w:t>
      </w:r>
      <w:proofErr w:type="spellStart"/>
      <w:r>
        <w:rPr>
          <w:rFonts w:ascii="Calibri" w:eastAsia="Calibri" w:hAnsi="Calibri" w:cs="Calibri"/>
          <w:sz w:val="22"/>
          <w:szCs w:val="22"/>
        </w:rPr>
        <w:t>Pucich</w:t>
      </w:r>
      <w:proofErr w:type="spellEnd"/>
      <w:r>
        <w:rPr>
          <w:rFonts w:ascii="Calibri" w:eastAsia="Calibri" w:hAnsi="Calibri" w:cs="Calibri"/>
          <w:sz w:val="22"/>
          <w:szCs w:val="22"/>
        </w:rPr>
        <w:t xml:space="preserve"> (2016) concluye que “Resultados financieros y por tenencias” </w:t>
      </w:r>
      <w:proofErr w:type="spellStart"/>
      <w:r>
        <w:rPr>
          <w:rFonts w:ascii="Calibri" w:eastAsia="Calibri" w:hAnsi="Calibri" w:cs="Calibri"/>
          <w:sz w:val="22"/>
          <w:szCs w:val="22"/>
        </w:rPr>
        <w:t>sería</w:t>
      </w:r>
      <w:proofErr w:type="spellEnd"/>
      <w:r>
        <w:rPr>
          <w:rFonts w:ascii="Calibri" w:eastAsia="Calibri" w:hAnsi="Calibri" w:cs="Calibri"/>
          <w:sz w:val="22"/>
          <w:szCs w:val="22"/>
        </w:rPr>
        <w:t xml:space="preserve"> el rubro </w:t>
      </w:r>
      <w:proofErr w:type="spellStart"/>
      <w:r>
        <w:rPr>
          <w:rFonts w:ascii="Calibri" w:eastAsia="Calibri" w:hAnsi="Calibri" w:cs="Calibri"/>
          <w:sz w:val="22"/>
          <w:szCs w:val="22"/>
        </w:rPr>
        <w:t>más</w:t>
      </w:r>
      <w:proofErr w:type="spellEnd"/>
      <w:r>
        <w:rPr>
          <w:rFonts w:ascii="Calibri" w:eastAsia="Calibri" w:hAnsi="Calibri" w:cs="Calibri"/>
          <w:sz w:val="22"/>
          <w:szCs w:val="22"/>
        </w:rPr>
        <w:t xml:space="preserve"> indicado, en donde se </w:t>
      </w:r>
      <w:proofErr w:type="spellStart"/>
      <w:r>
        <w:rPr>
          <w:rFonts w:ascii="Calibri" w:eastAsia="Calibri" w:hAnsi="Calibri" w:cs="Calibri"/>
          <w:sz w:val="22"/>
          <w:szCs w:val="22"/>
        </w:rPr>
        <w:t>podría</w:t>
      </w:r>
      <w:proofErr w:type="spellEnd"/>
      <w:r>
        <w:rPr>
          <w:rFonts w:ascii="Calibri" w:eastAsia="Calibri" w:hAnsi="Calibri" w:cs="Calibri"/>
          <w:sz w:val="22"/>
          <w:szCs w:val="22"/>
        </w:rPr>
        <w:t xml:space="preserve"> exponer los resultados que generen las monedas virtuales durante el ejercicio </w:t>
      </w:r>
      <w:proofErr w:type="spellStart"/>
      <w:r>
        <w:rPr>
          <w:rFonts w:ascii="Calibri" w:eastAsia="Calibri" w:hAnsi="Calibri" w:cs="Calibri"/>
          <w:sz w:val="22"/>
          <w:szCs w:val="22"/>
        </w:rPr>
        <w:t>económico</w:t>
      </w:r>
      <w:proofErr w:type="spellEnd"/>
      <w:r>
        <w:rPr>
          <w:rFonts w:ascii="Calibri" w:eastAsia="Calibri" w:hAnsi="Calibri" w:cs="Calibri"/>
          <w:sz w:val="22"/>
          <w:szCs w:val="22"/>
        </w:rPr>
        <w:t xml:space="preserve">, como los resultados por tenencia y las diferencias de cotizaciones que surjan por su </w:t>
      </w:r>
      <w:proofErr w:type="spellStart"/>
      <w:r>
        <w:rPr>
          <w:rFonts w:ascii="Calibri" w:eastAsia="Calibri" w:hAnsi="Calibri" w:cs="Calibri"/>
          <w:sz w:val="22"/>
          <w:szCs w:val="22"/>
        </w:rPr>
        <w:t>valuación</w:t>
      </w:r>
      <w:proofErr w:type="spellEnd"/>
      <w:r>
        <w:rPr>
          <w:rFonts w:ascii="Calibri" w:eastAsia="Calibri" w:hAnsi="Calibri" w:cs="Calibri"/>
          <w:sz w:val="22"/>
          <w:szCs w:val="22"/>
        </w:rPr>
        <w:t xml:space="preserve"> a VNR al cierre del ejercicio o por la ganancia o </w:t>
      </w:r>
      <w:proofErr w:type="spellStart"/>
      <w:r>
        <w:rPr>
          <w:rFonts w:ascii="Calibri" w:eastAsia="Calibri" w:hAnsi="Calibri" w:cs="Calibri"/>
          <w:sz w:val="22"/>
          <w:szCs w:val="22"/>
        </w:rPr>
        <w:t>pérdida</w:t>
      </w:r>
      <w:proofErr w:type="spellEnd"/>
      <w:r>
        <w:rPr>
          <w:rFonts w:ascii="Calibri" w:eastAsia="Calibri" w:hAnsi="Calibri" w:cs="Calibri"/>
          <w:sz w:val="22"/>
          <w:szCs w:val="22"/>
        </w:rPr>
        <w:t xml:space="preserve"> que se produzca por la compra-venta de estas monedas.  Por su parte, en cuanto a la definición del valor de cotización del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Goenaga</w:t>
      </w:r>
      <w:proofErr w:type="spellEnd"/>
      <w:r>
        <w:rPr>
          <w:rFonts w:ascii="Calibri" w:eastAsia="Calibri" w:hAnsi="Calibri" w:cs="Calibri"/>
          <w:sz w:val="22"/>
          <w:szCs w:val="22"/>
        </w:rPr>
        <w:t xml:space="preserve"> et al (2021) sugieren utilizar el </w:t>
      </w:r>
      <w:proofErr w:type="spellStart"/>
      <w:r>
        <w:rPr>
          <w:rFonts w:ascii="Calibri" w:eastAsia="Calibri" w:hAnsi="Calibri" w:cs="Calibri"/>
          <w:sz w:val="22"/>
          <w:szCs w:val="22"/>
        </w:rPr>
        <w:t>exchange</w:t>
      </w:r>
      <w:proofErr w:type="spellEnd"/>
      <w:r>
        <w:rPr>
          <w:rFonts w:ascii="Calibri" w:eastAsia="Calibri" w:hAnsi="Calibri" w:cs="Calibri"/>
          <w:sz w:val="22"/>
          <w:szCs w:val="22"/>
        </w:rPr>
        <w:t xml:space="preserve"> principal que utilice la empresa, y si están en moneda extranjera, se transformarán a la moneda de curso legal del país.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En NIIF, si el valor razonable de una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está por debajo de su valor en libros a la fecha de presentación de pérdida, una pérdida por deterioro sería reconocida en utilidad o pérdida. El IAS 38 (“Activos Intangibles”) requiere la revelación del valor en libros de la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tenida al final del período de presentación de reporte, junto con cualesquiera pérdidas por deterioro acumuladas. (</w:t>
      </w:r>
      <w:proofErr w:type="spellStart"/>
      <w:r>
        <w:rPr>
          <w:rFonts w:ascii="Calibri" w:eastAsia="Calibri" w:hAnsi="Calibri" w:cs="Calibri"/>
          <w:sz w:val="22"/>
          <w:szCs w:val="22"/>
        </w:rPr>
        <w:t>Deloitte</w:t>
      </w:r>
      <w:proofErr w:type="spellEnd"/>
      <w:r>
        <w:rPr>
          <w:rFonts w:ascii="Calibri" w:eastAsia="Calibri" w:hAnsi="Calibri" w:cs="Calibri"/>
          <w:sz w:val="22"/>
          <w:szCs w:val="22"/>
        </w:rPr>
        <w:t>, 2020)</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IAS 38 requiere una valoración, al final de cada período de presentación de reporte, de si hay cualquier indicador de que una pérdida por deterioro reconocida en períodos anteriores puede ya no </w:t>
      </w:r>
      <w:r>
        <w:rPr>
          <w:rFonts w:ascii="Calibri" w:eastAsia="Calibri" w:hAnsi="Calibri" w:cs="Calibri"/>
          <w:sz w:val="22"/>
          <w:szCs w:val="22"/>
        </w:rPr>
        <w:lastRenderedPageBreak/>
        <w:t xml:space="preserve">existir o puede haber disminuido. Si existe cualquier indicador, la cantidad recuperable de ese activo es estimada. Para una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esto, de nuevo, involucrará medir la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a valor razonable. (</w:t>
      </w:r>
      <w:proofErr w:type="spellStart"/>
      <w:r>
        <w:rPr>
          <w:rFonts w:ascii="Calibri" w:eastAsia="Calibri" w:hAnsi="Calibri" w:cs="Calibri"/>
          <w:sz w:val="22"/>
          <w:szCs w:val="22"/>
        </w:rPr>
        <w:t>Deloitte</w:t>
      </w:r>
      <w:proofErr w:type="spellEnd"/>
      <w:r>
        <w:rPr>
          <w:rFonts w:ascii="Calibri" w:eastAsia="Calibri" w:hAnsi="Calibri" w:cs="Calibri"/>
          <w:sz w:val="22"/>
          <w:szCs w:val="22"/>
        </w:rPr>
        <w:t>, 2020)</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 </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IAS 38 permite que los activos intangibles sean medidos, después del reconocimiento inicial, usando el modelo de revaluación, como una elección de política de contabilidad, pero solo si hay un mercado activo en la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Si se aplica el modelo de revaluación, los incrementos en el valor razonable de una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por encima de su costo son reconocidos en otros ingresos comprensivos [</w:t>
      </w:r>
      <w:proofErr w:type="spellStart"/>
      <w:r>
        <w:rPr>
          <w:rFonts w:ascii="Calibri" w:eastAsia="Calibri" w:hAnsi="Calibri" w:cs="Calibri"/>
          <w:sz w:val="22"/>
          <w:szCs w:val="22"/>
        </w:rPr>
        <w:t>other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comprehensive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income</w:t>
      </w:r>
      <w:proofErr w:type="spellEnd"/>
      <w:r>
        <w:rPr>
          <w:rFonts w:ascii="Calibri" w:eastAsia="Calibri" w:hAnsi="Calibri" w:cs="Calibri"/>
          <w:sz w:val="22"/>
          <w:szCs w:val="22"/>
        </w:rPr>
        <w:t xml:space="preserve"> (OCI)]. Nunca son reclasificados a utilidad o pérdida, incluso si la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es vendida. En contraste, si el valor razonable cae por debajo del costo cualesquiera movimientos son reconocidos en utilidad o pérdida. La presentación no es simétrica. (</w:t>
      </w:r>
      <w:proofErr w:type="spellStart"/>
      <w:r>
        <w:rPr>
          <w:rFonts w:ascii="Calibri" w:eastAsia="Calibri" w:hAnsi="Calibri" w:cs="Calibri"/>
          <w:sz w:val="22"/>
          <w:szCs w:val="22"/>
        </w:rPr>
        <w:t>Deloitte</w:t>
      </w:r>
      <w:proofErr w:type="spellEnd"/>
      <w:r>
        <w:rPr>
          <w:rFonts w:ascii="Calibri" w:eastAsia="Calibri" w:hAnsi="Calibri" w:cs="Calibri"/>
          <w:sz w:val="22"/>
          <w:szCs w:val="22"/>
        </w:rPr>
        <w:t>, 2020)</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autor Samuel Mantilla (2021) afirma que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deben informarse a su valor razonable actual en el balance, con los cambios en el valor informados en pérdidas y ganancias. Esto debe aplicarse independientemente de por qué se mantiene el activo o de la intención con respecto a su negociación o al momento de realización.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En NIIF, si un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es contabilizado como inventario, por estar destinado a la venta, lo registra a costo histórico, menos desvalorizaciones. Cuando el valor neto realizable de las existencias sea inferior a su precio de adquisición o coste de producción, se efectuará el correspondiente ajuste de valor, reconociéndose como un gasto en la cuenta de pérdidas y ganancias. Si las circunstancias que causaron la corrección del valor de las existencias hubiesen dejado de existir, el importe de la corrección será objeto de reversión, reconociéndose como un ingreso en la cuenta de pérdidas y ganancias. (Moore, 2019)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proofErr w:type="spellStart"/>
      <w:r>
        <w:rPr>
          <w:rFonts w:ascii="Calibri" w:eastAsia="Calibri" w:hAnsi="Calibri" w:cs="Calibri"/>
          <w:sz w:val="22"/>
          <w:szCs w:val="22"/>
        </w:rPr>
        <w:t>Asi</w:t>
      </w:r>
      <w:proofErr w:type="spellEnd"/>
      <w:r>
        <w:rPr>
          <w:rFonts w:ascii="Calibri" w:eastAsia="Calibri" w:hAnsi="Calibri" w:cs="Calibri"/>
          <w:sz w:val="22"/>
          <w:szCs w:val="22"/>
        </w:rPr>
        <w:t xml:space="preserve">́ entonces, una propuesta a considerar en el tratamiento del cambio en el valor neto de </w:t>
      </w:r>
      <w:proofErr w:type="spellStart"/>
      <w:r>
        <w:rPr>
          <w:rFonts w:ascii="Calibri" w:eastAsia="Calibri" w:hAnsi="Calibri" w:cs="Calibri"/>
          <w:sz w:val="22"/>
          <w:szCs w:val="22"/>
        </w:rPr>
        <w:t>realización</w:t>
      </w:r>
      <w:proofErr w:type="spellEnd"/>
      <w:r>
        <w:rPr>
          <w:rFonts w:ascii="Calibri" w:eastAsia="Calibri" w:hAnsi="Calibri" w:cs="Calibri"/>
          <w:sz w:val="22"/>
          <w:szCs w:val="22"/>
        </w:rPr>
        <w:t xml:space="preserve"> de las inversiones en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es incluirlo como una reserva en el</w:t>
      </w:r>
      <w:r>
        <w:rPr>
          <w:rFonts w:ascii="Calibri" w:eastAsia="Calibri" w:hAnsi="Calibri" w:cs="Calibri"/>
          <w:b/>
          <w:sz w:val="22"/>
          <w:szCs w:val="22"/>
        </w:rPr>
        <w:t xml:space="preserve"> Estado de </w:t>
      </w:r>
      <w:proofErr w:type="spellStart"/>
      <w:r>
        <w:rPr>
          <w:rFonts w:ascii="Calibri" w:eastAsia="Calibri" w:hAnsi="Calibri" w:cs="Calibri"/>
          <w:b/>
          <w:sz w:val="22"/>
          <w:szCs w:val="22"/>
        </w:rPr>
        <w:t>Evolución</w:t>
      </w:r>
      <w:proofErr w:type="spellEnd"/>
      <w:r>
        <w:rPr>
          <w:rFonts w:ascii="Calibri" w:eastAsia="Calibri" w:hAnsi="Calibri" w:cs="Calibri"/>
          <w:b/>
          <w:sz w:val="22"/>
          <w:szCs w:val="22"/>
        </w:rPr>
        <w:t xml:space="preserve"> del Patrimonio Neto</w:t>
      </w:r>
      <w:r>
        <w:rPr>
          <w:rFonts w:ascii="Calibri" w:eastAsia="Calibri" w:hAnsi="Calibri" w:cs="Calibri"/>
          <w:sz w:val="22"/>
          <w:szCs w:val="22"/>
        </w:rPr>
        <w:t xml:space="preserve"> formando parte de resultados diferidos. Asimismo, cuando un descenso en el valor neto de </w:t>
      </w:r>
      <w:proofErr w:type="spellStart"/>
      <w:r>
        <w:rPr>
          <w:rFonts w:ascii="Calibri" w:eastAsia="Calibri" w:hAnsi="Calibri" w:cs="Calibri"/>
          <w:sz w:val="22"/>
          <w:szCs w:val="22"/>
        </w:rPr>
        <w:t>realización</w:t>
      </w:r>
      <w:proofErr w:type="spellEnd"/>
      <w:r>
        <w:rPr>
          <w:rFonts w:ascii="Calibri" w:eastAsia="Calibri" w:hAnsi="Calibri" w:cs="Calibri"/>
          <w:sz w:val="22"/>
          <w:szCs w:val="22"/>
        </w:rPr>
        <w:t xml:space="preserve"> de la </w:t>
      </w:r>
      <w:proofErr w:type="spellStart"/>
      <w:r>
        <w:rPr>
          <w:rFonts w:ascii="Calibri" w:eastAsia="Calibri" w:hAnsi="Calibri" w:cs="Calibri"/>
          <w:sz w:val="22"/>
          <w:szCs w:val="22"/>
        </w:rPr>
        <w:t>inversión</w:t>
      </w:r>
      <w:proofErr w:type="spellEnd"/>
      <w:r>
        <w:rPr>
          <w:rFonts w:ascii="Calibri" w:eastAsia="Calibri" w:hAnsi="Calibri" w:cs="Calibri"/>
          <w:sz w:val="22"/>
          <w:szCs w:val="22"/>
        </w:rPr>
        <w:t xml:space="preserve"> en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haya sido reconocido en los resultados diferidos y exista indicios objetivos de </w:t>
      </w:r>
      <w:proofErr w:type="spellStart"/>
      <w:r>
        <w:rPr>
          <w:rFonts w:ascii="Calibri" w:eastAsia="Calibri" w:hAnsi="Calibri" w:cs="Calibri"/>
          <w:sz w:val="22"/>
          <w:szCs w:val="22"/>
        </w:rPr>
        <w:t>desvalorización</w:t>
      </w:r>
      <w:proofErr w:type="spellEnd"/>
      <w:r>
        <w:rPr>
          <w:rFonts w:ascii="Calibri" w:eastAsia="Calibri" w:hAnsi="Calibri" w:cs="Calibri"/>
          <w:sz w:val="22"/>
          <w:szCs w:val="22"/>
        </w:rPr>
        <w:t xml:space="preserve">, la </w:t>
      </w:r>
      <w:proofErr w:type="spellStart"/>
      <w:r>
        <w:rPr>
          <w:rFonts w:ascii="Calibri" w:eastAsia="Calibri" w:hAnsi="Calibri" w:cs="Calibri"/>
          <w:sz w:val="22"/>
          <w:szCs w:val="22"/>
        </w:rPr>
        <w:t>pérdida</w:t>
      </w:r>
      <w:proofErr w:type="spellEnd"/>
      <w:r>
        <w:rPr>
          <w:rFonts w:ascii="Calibri" w:eastAsia="Calibri" w:hAnsi="Calibri" w:cs="Calibri"/>
          <w:sz w:val="22"/>
          <w:szCs w:val="22"/>
        </w:rPr>
        <w:t xml:space="preserve"> acumulada se reclasificará del patrimonio al resultado como un ajuste por </w:t>
      </w:r>
      <w:proofErr w:type="spellStart"/>
      <w:r>
        <w:rPr>
          <w:rFonts w:ascii="Calibri" w:eastAsia="Calibri" w:hAnsi="Calibri" w:cs="Calibri"/>
          <w:sz w:val="22"/>
          <w:szCs w:val="22"/>
        </w:rPr>
        <w:t>reclasificación</w:t>
      </w:r>
      <w:proofErr w:type="spellEnd"/>
      <w:r>
        <w:rPr>
          <w:rFonts w:ascii="Calibri" w:eastAsia="Calibri" w:hAnsi="Calibri" w:cs="Calibri"/>
          <w:sz w:val="22"/>
          <w:szCs w:val="22"/>
        </w:rPr>
        <w:t>, aunque el activo no haya sido dado de baja. (</w:t>
      </w:r>
      <w:proofErr w:type="spellStart"/>
      <w:r>
        <w:rPr>
          <w:rFonts w:ascii="Calibri" w:eastAsia="Calibri" w:hAnsi="Calibri" w:cs="Calibri"/>
          <w:sz w:val="22"/>
          <w:szCs w:val="22"/>
        </w:rPr>
        <w:t>Torchelli</w:t>
      </w:r>
      <w:proofErr w:type="spellEnd"/>
      <w:r>
        <w:rPr>
          <w:rFonts w:ascii="Calibri" w:eastAsia="Calibri" w:hAnsi="Calibri" w:cs="Calibri"/>
          <w:sz w:val="22"/>
          <w:szCs w:val="22"/>
        </w:rPr>
        <w:t xml:space="preserve"> &amp; </w:t>
      </w:r>
      <w:proofErr w:type="spellStart"/>
      <w:r>
        <w:rPr>
          <w:rFonts w:ascii="Calibri" w:eastAsia="Calibri" w:hAnsi="Calibri" w:cs="Calibri"/>
          <w:sz w:val="22"/>
          <w:szCs w:val="22"/>
        </w:rPr>
        <w:t>Símaro</w:t>
      </w:r>
      <w:proofErr w:type="spellEnd"/>
      <w:r>
        <w:rPr>
          <w:rFonts w:ascii="Calibri" w:eastAsia="Calibri" w:hAnsi="Calibri" w:cs="Calibri"/>
          <w:sz w:val="22"/>
          <w:szCs w:val="22"/>
        </w:rPr>
        <w:t>, 2020)</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proofErr w:type="spellStart"/>
      <w:r>
        <w:rPr>
          <w:rFonts w:ascii="Calibri" w:eastAsia="Calibri" w:hAnsi="Calibri" w:cs="Calibri"/>
          <w:sz w:val="22"/>
          <w:szCs w:val="22"/>
        </w:rPr>
        <w:t>Específicamente</w:t>
      </w:r>
      <w:proofErr w:type="spellEnd"/>
      <w:r>
        <w:rPr>
          <w:rFonts w:ascii="Calibri" w:eastAsia="Calibri" w:hAnsi="Calibri" w:cs="Calibri"/>
          <w:sz w:val="22"/>
          <w:szCs w:val="22"/>
        </w:rPr>
        <w:t xml:space="preserve"> el Marco Conceptual de las NIIF hace referencia a que la relevancia de la </w:t>
      </w:r>
      <w:proofErr w:type="spellStart"/>
      <w:r>
        <w:rPr>
          <w:rFonts w:ascii="Calibri" w:eastAsia="Calibri" w:hAnsi="Calibri" w:cs="Calibri"/>
          <w:sz w:val="22"/>
          <w:szCs w:val="22"/>
        </w:rPr>
        <w:t>información</w:t>
      </w:r>
      <w:proofErr w:type="spellEnd"/>
      <w:r>
        <w:rPr>
          <w:rFonts w:ascii="Calibri" w:eastAsia="Calibri" w:hAnsi="Calibri" w:cs="Calibri"/>
          <w:sz w:val="22"/>
          <w:szCs w:val="22"/>
        </w:rPr>
        <w:t xml:space="preserve"> proporcionada por una base de medición depende en parte de las </w:t>
      </w:r>
      <w:proofErr w:type="spellStart"/>
      <w:r>
        <w:rPr>
          <w:rFonts w:ascii="Calibri" w:eastAsia="Calibri" w:hAnsi="Calibri" w:cs="Calibri"/>
          <w:sz w:val="22"/>
          <w:szCs w:val="22"/>
        </w:rPr>
        <w:t>características</w:t>
      </w:r>
      <w:proofErr w:type="spellEnd"/>
      <w:r>
        <w:rPr>
          <w:rFonts w:ascii="Calibri" w:eastAsia="Calibri" w:hAnsi="Calibri" w:cs="Calibri"/>
          <w:sz w:val="22"/>
          <w:szCs w:val="22"/>
        </w:rPr>
        <w:t xml:space="preserve"> del activo o pasivo, en particular, de la variabilidad de los flujos de efectivo y de si el valor del activo o pasivo es sensible a los factores del mercado u otros riesgos. Si el valor de un activo o pasivo es sensible a los factores del mercado u otros riesgos, su costo histórico puede diferir significativamente de su valor actual. En consecuencia, el costo histórico puede no proporcionar </w:t>
      </w:r>
      <w:proofErr w:type="spellStart"/>
      <w:r>
        <w:rPr>
          <w:rFonts w:ascii="Calibri" w:eastAsia="Calibri" w:hAnsi="Calibri" w:cs="Calibri"/>
          <w:sz w:val="22"/>
          <w:szCs w:val="22"/>
        </w:rPr>
        <w:t>información</w:t>
      </w:r>
      <w:proofErr w:type="spellEnd"/>
      <w:r>
        <w:rPr>
          <w:rFonts w:ascii="Calibri" w:eastAsia="Calibri" w:hAnsi="Calibri" w:cs="Calibri"/>
          <w:sz w:val="22"/>
          <w:szCs w:val="22"/>
        </w:rPr>
        <w:t xml:space="preserve"> relevante si la información sobre los cambios en el valor es importante para los usuarios de los estados financieros. Sin embargo, entendemos que no existe incertidumbre en la </w:t>
      </w:r>
      <w:proofErr w:type="spellStart"/>
      <w:r>
        <w:rPr>
          <w:rFonts w:ascii="Calibri" w:eastAsia="Calibri" w:hAnsi="Calibri" w:cs="Calibri"/>
          <w:sz w:val="22"/>
          <w:szCs w:val="22"/>
        </w:rPr>
        <w:t>medición</w:t>
      </w:r>
      <w:proofErr w:type="spellEnd"/>
      <w:r>
        <w:rPr>
          <w:rFonts w:ascii="Calibri" w:eastAsia="Calibri" w:hAnsi="Calibri" w:cs="Calibri"/>
          <w:sz w:val="22"/>
          <w:szCs w:val="22"/>
        </w:rPr>
        <w:t xml:space="preserve"> de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por una única razón: la medida no es estimada, sino cierta. No se hacen estimaciones para determinar su medición. Si bien no hay un </w:t>
      </w:r>
      <w:proofErr w:type="spellStart"/>
      <w:r>
        <w:rPr>
          <w:rFonts w:ascii="Calibri" w:eastAsia="Calibri" w:hAnsi="Calibri" w:cs="Calibri"/>
          <w:sz w:val="22"/>
          <w:szCs w:val="22"/>
        </w:rPr>
        <w:t>único</w:t>
      </w:r>
      <w:proofErr w:type="spellEnd"/>
      <w:r>
        <w:rPr>
          <w:rFonts w:ascii="Calibri" w:eastAsia="Calibri" w:hAnsi="Calibri" w:cs="Calibri"/>
          <w:sz w:val="22"/>
          <w:szCs w:val="22"/>
        </w:rPr>
        <w:t xml:space="preserve"> precio oficial para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sino que muchas de ellas pueden negociarse en distintas plataformas y pueden presentarse diferencias, tales diferencias son </w:t>
      </w:r>
      <w:proofErr w:type="spellStart"/>
      <w:r>
        <w:rPr>
          <w:rFonts w:ascii="Calibri" w:eastAsia="Calibri" w:hAnsi="Calibri" w:cs="Calibri"/>
          <w:sz w:val="22"/>
          <w:szCs w:val="22"/>
        </w:rPr>
        <w:t>mínimas</w:t>
      </w:r>
      <w:proofErr w:type="spellEnd"/>
      <w:r>
        <w:rPr>
          <w:rFonts w:ascii="Calibri" w:eastAsia="Calibri" w:hAnsi="Calibri" w:cs="Calibri"/>
          <w:sz w:val="22"/>
          <w:szCs w:val="22"/>
        </w:rPr>
        <w:t xml:space="preserve">, porque en el momento que la diferencia sea grande, se </w:t>
      </w:r>
      <w:proofErr w:type="spellStart"/>
      <w:r>
        <w:rPr>
          <w:rFonts w:ascii="Calibri" w:eastAsia="Calibri" w:hAnsi="Calibri" w:cs="Calibri"/>
          <w:sz w:val="22"/>
          <w:szCs w:val="22"/>
        </w:rPr>
        <w:t>abrira</w:t>
      </w:r>
      <w:proofErr w:type="spellEnd"/>
      <w:r>
        <w:rPr>
          <w:rFonts w:ascii="Calibri" w:eastAsia="Calibri" w:hAnsi="Calibri" w:cs="Calibri"/>
          <w:sz w:val="22"/>
          <w:szCs w:val="22"/>
        </w:rPr>
        <w:t xml:space="preserve">́ una posibilidad de arbitraje para el inversor, lo cual </w:t>
      </w:r>
      <w:proofErr w:type="spellStart"/>
      <w:r>
        <w:rPr>
          <w:rFonts w:ascii="Calibri" w:eastAsia="Calibri" w:hAnsi="Calibri" w:cs="Calibri"/>
          <w:sz w:val="22"/>
          <w:szCs w:val="22"/>
        </w:rPr>
        <w:t>hara</w:t>
      </w:r>
      <w:proofErr w:type="spellEnd"/>
      <w:r>
        <w:rPr>
          <w:rFonts w:ascii="Calibri" w:eastAsia="Calibri" w:hAnsi="Calibri" w:cs="Calibri"/>
          <w:sz w:val="22"/>
          <w:szCs w:val="22"/>
        </w:rPr>
        <w:t>́ que los precios vuelvan a aproximarse. (</w:t>
      </w:r>
      <w:proofErr w:type="spellStart"/>
      <w:r>
        <w:rPr>
          <w:rFonts w:ascii="Calibri" w:eastAsia="Calibri" w:hAnsi="Calibri" w:cs="Calibri"/>
          <w:sz w:val="22"/>
          <w:szCs w:val="22"/>
        </w:rPr>
        <w:t>Torchelli</w:t>
      </w:r>
      <w:proofErr w:type="spellEnd"/>
      <w:r>
        <w:rPr>
          <w:rFonts w:ascii="Calibri" w:eastAsia="Calibri" w:hAnsi="Calibri" w:cs="Calibri"/>
          <w:sz w:val="22"/>
          <w:szCs w:val="22"/>
        </w:rPr>
        <w:t xml:space="preserve"> &amp; </w:t>
      </w:r>
      <w:proofErr w:type="spellStart"/>
      <w:r>
        <w:rPr>
          <w:rFonts w:ascii="Calibri" w:eastAsia="Calibri" w:hAnsi="Calibri" w:cs="Calibri"/>
          <w:sz w:val="22"/>
          <w:szCs w:val="22"/>
        </w:rPr>
        <w:t>Símaro</w:t>
      </w:r>
      <w:proofErr w:type="spellEnd"/>
      <w:r>
        <w:rPr>
          <w:rFonts w:ascii="Calibri" w:eastAsia="Calibri" w:hAnsi="Calibri" w:cs="Calibri"/>
          <w:sz w:val="22"/>
          <w:szCs w:val="22"/>
        </w:rPr>
        <w:t xml:space="preserve">, 2020)  </w:t>
      </w:r>
      <w:r>
        <w:rPr>
          <w:rFonts w:ascii="Calibri" w:eastAsia="Calibri" w:hAnsi="Calibri" w:cs="Calibri"/>
          <w:sz w:val="22"/>
          <w:szCs w:val="22"/>
        </w:rPr>
        <w:tab/>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El párrafo B5.7.2 de la </w:t>
      </w:r>
      <w:proofErr w:type="spellStart"/>
      <w:r>
        <w:rPr>
          <w:rFonts w:ascii="Calibri" w:eastAsia="Calibri" w:hAnsi="Calibri" w:cs="Calibri"/>
          <w:sz w:val="22"/>
          <w:szCs w:val="22"/>
        </w:rPr>
        <w:t>Guía</w:t>
      </w:r>
      <w:proofErr w:type="spellEnd"/>
      <w:r>
        <w:rPr>
          <w:rFonts w:ascii="Calibri" w:eastAsia="Calibri" w:hAnsi="Calibri" w:cs="Calibri"/>
          <w:sz w:val="22"/>
          <w:szCs w:val="22"/>
        </w:rPr>
        <w:t xml:space="preserve"> de </w:t>
      </w:r>
      <w:proofErr w:type="spellStart"/>
      <w:r>
        <w:rPr>
          <w:rFonts w:ascii="Calibri" w:eastAsia="Calibri" w:hAnsi="Calibri" w:cs="Calibri"/>
          <w:sz w:val="22"/>
          <w:szCs w:val="22"/>
        </w:rPr>
        <w:t>aplicación</w:t>
      </w:r>
      <w:proofErr w:type="spellEnd"/>
      <w:r>
        <w:rPr>
          <w:rFonts w:ascii="Calibri" w:eastAsia="Calibri" w:hAnsi="Calibri" w:cs="Calibri"/>
          <w:sz w:val="22"/>
          <w:szCs w:val="22"/>
        </w:rPr>
        <w:t xml:space="preserve"> dispone que una entidad aplicará la NIC 21, “Efectos en las variaciones en las tasas de cambio de la moneda extranjera”, a los activos financieros y pasivos financieros que sean partidas monetarias y </w:t>
      </w:r>
      <w:proofErr w:type="spellStart"/>
      <w:r>
        <w:rPr>
          <w:rFonts w:ascii="Calibri" w:eastAsia="Calibri" w:hAnsi="Calibri" w:cs="Calibri"/>
          <w:sz w:val="22"/>
          <w:szCs w:val="22"/>
        </w:rPr>
        <w:t>estén</w:t>
      </w:r>
      <w:proofErr w:type="spellEnd"/>
      <w:r>
        <w:rPr>
          <w:rFonts w:ascii="Calibri" w:eastAsia="Calibri" w:hAnsi="Calibri" w:cs="Calibri"/>
          <w:sz w:val="22"/>
          <w:szCs w:val="22"/>
        </w:rPr>
        <w:t xml:space="preserve"> denominados en moneda extranjera. Cualquier </w:t>
      </w:r>
      <w:r>
        <w:rPr>
          <w:rFonts w:ascii="Calibri" w:eastAsia="Calibri" w:hAnsi="Calibri" w:cs="Calibri"/>
          <w:sz w:val="22"/>
          <w:szCs w:val="22"/>
        </w:rPr>
        <w:lastRenderedPageBreak/>
        <w:t xml:space="preserve">ganancia o </w:t>
      </w:r>
      <w:proofErr w:type="spellStart"/>
      <w:r>
        <w:rPr>
          <w:rFonts w:ascii="Calibri" w:eastAsia="Calibri" w:hAnsi="Calibri" w:cs="Calibri"/>
          <w:sz w:val="22"/>
          <w:szCs w:val="22"/>
        </w:rPr>
        <w:t>pérdida</w:t>
      </w:r>
      <w:proofErr w:type="spellEnd"/>
      <w:r>
        <w:rPr>
          <w:rFonts w:ascii="Calibri" w:eastAsia="Calibri" w:hAnsi="Calibri" w:cs="Calibri"/>
          <w:sz w:val="22"/>
          <w:szCs w:val="22"/>
        </w:rPr>
        <w:t xml:space="preserve"> por diferencias de cambio sobre activos o pasivos monetarios se reconoce en los resultados. (</w:t>
      </w:r>
      <w:proofErr w:type="spellStart"/>
      <w:r>
        <w:rPr>
          <w:rFonts w:ascii="Calibri" w:eastAsia="Calibri" w:hAnsi="Calibri" w:cs="Calibri"/>
          <w:sz w:val="22"/>
          <w:szCs w:val="22"/>
        </w:rPr>
        <w:t>Torchelli</w:t>
      </w:r>
      <w:proofErr w:type="spellEnd"/>
      <w:r>
        <w:rPr>
          <w:rFonts w:ascii="Calibri" w:eastAsia="Calibri" w:hAnsi="Calibri" w:cs="Calibri"/>
          <w:sz w:val="22"/>
          <w:szCs w:val="22"/>
        </w:rPr>
        <w:t xml:space="preserve"> &amp; </w:t>
      </w:r>
      <w:proofErr w:type="spellStart"/>
      <w:r>
        <w:rPr>
          <w:rFonts w:ascii="Calibri" w:eastAsia="Calibri" w:hAnsi="Calibri" w:cs="Calibri"/>
          <w:sz w:val="22"/>
          <w:szCs w:val="22"/>
        </w:rPr>
        <w:t>Símaro</w:t>
      </w:r>
      <w:proofErr w:type="spellEnd"/>
      <w:r>
        <w:rPr>
          <w:rFonts w:ascii="Calibri" w:eastAsia="Calibri" w:hAnsi="Calibri" w:cs="Calibri"/>
          <w:sz w:val="22"/>
          <w:szCs w:val="22"/>
        </w:rPr>
        <w:t>, 2020)</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Conocido es el cuestionamiento que plantea el reconocimiento de las monedas digitales en </w:t>
      </w:r>
      <w:proofErr w:type="spellStart"/>
      <w:r>
        <w:rPr>
          <w:rFonts w:ascii="Calibri" w:eastAsia="Calibri" w:hAnsi="Calibri" w:cs="Calibri"/>
          <w:sz w:val="22"/>
          <w:szCs w:val="22"/>
        </w:rPr>
        <w:t>razón</w:t>
      </w:r>
      <w:proofErr w:type="spellEnd"/>
      <w:r>
        <w:rPr>
          <w:rFonts w:ascii="Calibri" w:eastAsia="Calibri" w:hAnsi="Calibri" w:cs="Calibri"/>
          <w:sz w:val="22"/>
          <w:szCs w:val="22"/>
        </w:rPr>
        <w:t xml:space="preserve"> de la alta volatilidad que presentan. </w:t>
      </w:r>
      <w:proofErr w:type="spellStart"/>
      <w:r>
        <w:rPr>
          <w:rFonts w:ascii="Calibri" w:eastAsia="Calibri" w:hAnsi="Calibri" w:cs="Calibri"/>
          <w:sz w:val="22"/>
          <w:szCs w:val="22"/>
        </w:rPr>
        <w:t>Asi</w:t>
      </w:r>
      <w:proofErr w:type="spellEnd"/>
      <w:r>
        <w:rPr>
          <w:rFonts w:ascii="Calibri" w:eastAsia="Calibri" w:hAnsi="Calibri" w:cs="Calibri"/>
          <w:sz w:val="22"/>
          <w:szCs w:val="22"/>
        </w:rPr>
        <w:t xml:space="preserve">́ cuando a la fecha de los estados contables la </w:t>
      </w:r>
      <w:proofErr w:type="spellStart"/>
      <w:r>
        <w:rPr>
          <w:rFonts w:ascii="Calibri" w:eastAsia="Calibri" w:hAnsi="Calibri" w:cs="Calibri"/>
          <w:sz w:val="22"/>
          <w:szCs w:val="22"/>
        </w:rPr>
        <w:t>medición</w:t>
      </w:r>
      <w:proofErr w:type="spellEnd"/>
      <w:r>
        <w:rPr>
          <w:rFonts w:ascii="Calibri" w:eastAsia="Calibri" w:hAnsi="Calibri" w:cs="Calibri"/>
          <w:sz w:val="22"/>
          <w:szCs w:val="22"/>
        </w:rPr>
        <w:t xml:space="preserve"> al cierre supere el valor de libros, se pueden plantear dudas respecto del reconocimiento de ganancias, como contrapartida del mayor valor. (</w:t>
      </w:r>
      <w:proofErr w:type="spellStart"/>
      <w:r>
        <w:rPr>
          <w:rFonts w:ascii="Calibri" w:eastAsia="Calibri" w:hAnsi="Calibri" w:cs="Calibri"/>
          <w:sz w:val="22"/>
          <w:szCs w:val="22"/>
        </w:rPr>
        <w:t>Torchelli</w:t>
      </w:r>
      <w:proofErr w:type="spellEnd"/>
      <w:r>
        <w:rPr>
          <w:rFonts w:ascii="Calibri" w:eastAsia="Calibri" w:hAnsi="Calibri" w:cs="Calibri"/>
          <w:sz w:val="22"/>
          <w:szCs w:val="22"/>
        </w:rPr>
        <w:t xml:space="preserve"> &amp; </w:t>
      </w:r>
      <w:proofErr w:type="spellStart"/>
      <w:r>
        <w:rPr>
          <w:rFonts w:ascii="Calibri" w:eastAsia="Calibri" w:hAnsi="Calibri" w:cs="Calibri"/>
          <w:sz w:val="22"/>
          <w:szCs w:val="22"/>
        </w:rPr>
        <w:t>Símaro</w:t>
      </w:r>
      <w:proofErr w:type="spellEnd"/>
      <w:r>
        <w:rPr>
          <w:rFonts w:ascii="Calibri" w:eastAsia="Calibri" w:hAnsi="Calibri" w:cs="Calibri"/>
          <w:sz w:val="22"/>
          <w:szCs w:val="22"/>
        </w:rPr>
        <w:t>, 2020)</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color w:val="1F497D"/>
          <w:sz w:val="22"/>
          <w:szCs w:val="22"/>
        </w:rPr>
      </w:pPr>
      <w:r>
        <w:rPr>
          <w:rFonts w:ascii="Calibri" w:eastAsia="Calibri" w:hAnsi="Calibri" w:cs="Calibri"/>
          <w:sz w:val="22"/>
          <w:szCs w:val="22"/>
        </w:rPr>
        <w:t xml:space="preserve"> </w:t>
      </w:r>
    </w:p>
    <w:p w:rsidR="002938F6" w:rsidRDefault="007211A5">
      <w:pPr>
        <w:jc w:val="both"/>
        <w:rPr>
          <w:rFonts w:ascii="Calibri" w:eastAsia="Calibri" w:hAnsi="Calibri" w:cs="Calibri"/>
          <w:b/>
          <w:sz w:val="22"/>
          <w:szCs w:val="22"/>
        </w:rPr>
      </w:pPr>
      <w:r>
        <w:rPr>
          <w:rFonts w:ascii="Calibri" w:eastAsia="Calibri" w:hAnsi="Calibri" w:cs="Calibri"/>
          <w:b/>
          <w:sz w:val="22"/>
          <w:szCs w:val="22"/>
        </w:rPr>
        <w:t>DESARROLLO</w:t>
      </w:r>
    </w:p>
    <w:p w:rsidR="002938F6" w:rsidRDefault="002938F6">
      <w:pPr>
        <w:jc w:val="both"/>
        <w:rPr>
          <w:rFonts w:ascii="Calibri" w:eastAsia="Calibri" w:hAnsi="Calibri" w:cs="Calibri"/>
          <w:sz w:val="22"/>
          <w:szCs w:val="22"/>
        </w:rPr>
      </w:pPr>
    </w:p>
    <w:p w:rsidR="002938F6" w:rsidRDefault="007211A5">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Lo revisado hasta este punto, da cuenta que el estudio en torno a la exposición del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en el estado de situación patrimonial o estado de situación financiera de una organización ha sido más exhaustivo que lo que se ha expuesto en relación a los resultados asociados a dichos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a su tratamiento y exposición.</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Analizando el tratamiento contable de los </w:t>
      </w:r>
      <w:r>
        <w:rPr>
          <w:rFonts w:ascii="Calibri" w:eastAsia="Calibri" w:hAnsi="Calibri" w:cs="Calibri"/>
          <w:b/>
          <w:sz w:val="22"/>
          <w:szCs w:val="22"/>
        </w:rPr>
        <w:t xml:space="preserve">resultados </w:t>
      </w:r>
      <w:r>
        <w:rPr>
          <w:rFonts w:ascii="Calibri" w:eastAsia="Calibri" w:hAnsi="Calibri" w:cs="Calibri"/>
          <w:sz w:val="22"/>
          <w:szCs w:val="22"/>
        </w:rPr>
        <w:t xml:space="preserve">generados por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debemos tener en cuenta diversos hechos. Por un lado, corresponde estudiar los resultados por tenencia. En otras palabras, la registración del cambio de valor del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en la contabilidad de la organización que lo posee. Asimismo, conviene aclarar en qué lugar debe exponerse un eventual resultado por venta, dependiendo de si la comercialización de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es o no la actividad principal de la empresa. Por otra parte, consideramos importante reflexionar sobre la exposición de los resultados de los </w:t>
      </w:r>
      <w:proofErr w:type="spellStart"/>
      <w:r>
        <w:rPr>
          <w:rFonts w:ascii="Calibri" w:eastAsia="Calibri" w:hAnsi="Calibri" w:cs="Calibri"/>
          <w:sz w:val="22"/>
          <w:szCs w:val="22"/>
        </w:rPr>
        <w:t>utility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en la contabilidad de la empresa que los emite. Debemos aclarar que no se desarrolla en este trabajo el resultado por cotización en moneda extranjera del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ni la </w:t>
      </w:r>
      <w:proofErr w:type="spellStart"/>
      <w:r>
        <w:rPr>
          <w:rFonts w:ascii="Calibri" w:eastAsia="Calibri" w:hAnsi="Calibri" w:cs="Calibri"/>
          <w:sz w:val="22"/>
          <w:szCs w:val="22"/>
        </w:rPr>
        <w:t>reexpresión</w:t>
      </w:r>
      <w:proofErr w:type="spellEnd"/>
      <w:r>
        <w:rPr>
          <w:rFonts w:ascii="Calibri" w:eastAsia="Calibri" w:hAnsi="Calibri" w:cs="Calibri"/>
          <w:sz w:val="22"/>
          <w:szCs w:val="22"/>
        </w:rPr>
        <w:t xml:space="preserve"> por RECPAM, ya que si bien están relacionados con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dichos hechos económicos son equivalentes a los de cualquier otro tipo de bien equiparable no monetario o en moneda extranjera.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Comenzamos analizando los resultados por tenencia ante el supuesto de la disminución de valor del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Como hemos visto, las NIIF al considerar que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son activos intangibles, registran su adquisición al costo y permiten una opción en el tratamiento posterior (utilizar el modelo de revaluación o el costo histórico). En ambos casos cuando aparece un supuesto de desvalorización, la pérdida de valor es registrada en el estado de resultados como un resultado del período, con contrapartida a una cuenta regularizadora del activo, a fin de no perder información sobre el costo original de adquisición del bien. En caso de que esta desvalorización se revierta, se permite reconocer el ingreso como resultado positivo contra la regularizadora, hasta el tope del valor de adquisición.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Seguidamente corresponde analizar el supuesto del aumento de valor del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En la normativa internacional si se optó por el modelo del costo histórico no se realizarían ajustes, y si se optó por el modelo de revaluación, se permite reconocer un otro resultado integral, no distribuible, qué funciona similar a una reserva de patrimonio neto, contra el aumento del activo respectivo. Por supuesto, para realizar el aumento de valor tienen que darse las condiciones correspondientes. Ante una disminución de valor, la organización deberá ir descontando ese otro resultado integral que forman parte del patrimonio neto, hasta su anulación. Pasado el punto donde se agotó ese resultado diferido, opinamos que la empresa debe reconocer la desvalorización en el estado de resultados del período, cómo analizamos en el párrafo anterior.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b/>
          <w:sz w:val="22"/>
          <w:szCs w:val="22"/>
        </w:rPr>
      </w:pPr>
      <w:r>
        <w:rPr>
          <w:rFonts w:ascii="Calibri" w:eastAsia="Calibri" w:hAnsi="Calibri" w:cs="Calibri"/>
          <w:b/>
          <w:sz w:val="22"/>
          <w:szCs w:val="22"/>
        </w:rPr>
        <w:t>La normativa nacional</w:t>
      </w: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En las normas contables profesionales no está definido aún de forma clara y unívoca el tratamiento contable de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No solo no está aclarado en qué rubro del activo deben ser contabilizados los mismos, sino que tampoco está definido si los resultados positivos generados por los aumentos de valor de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pueden ser reconocidos como resultados del período y por tanto ser potencialmente distribuidos como dividendos.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Algunos autores (</w:t>
      </w:r>
      <w:proofErr w:type="spellStart"/>
      <w:r>
        <w:rPr>
          <w:rFonts w:ascii="Calibri" w:eastAsia="Calibri" w:hAnsi="Calibri" w:cs="Calibri"/>
          <w:sz w:val="22"/>
          <w:szCs w:val="22"/>
        </w:rPr>
        <w:t>Pucich</w:t>
      </w:r>
      <w:proofErr w:type="spellEnd"/>
      <w:r>
        <w:rPr>
          <w:rFonts w:ascii="Calibri" w:eastAsia="Calibri" w:hAnsi="Calibri" w:cs="Calibri"/>
          <w:sz w:val="22"/>
          <w:szCs w:val="22"/>
        </w:rPr>
        <w:t xml:space="preserve">, 2016) consideran que los resultados por tenencia de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deben ser reconocidos en el rubro resultados financieros y por tenencia generados por activos. Haciendo una analogía con otras inversiones, esta parece un tratamiento razonable, ya que permite devengar a valores corrientes el resultado de la inversión y expresarlo oportunamente en el estado contable.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Sin embargo, presenta una importante salvedad, que probablemente explique porque la normativa internacional sugiere un tratamiento diferente, y es que el valor de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en algunos casos es muy fluctuante, y hasta podría no tener un mercado activo. El riesgo, en el fondo, es que potencialmente una organización reconozca como ganancia un aumento ficticio en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para luego distribuir dividendos no realizados. Dado el riesgo que podría tener este tipo de operación, consideramos prudente mantenerlo al costo, en el caso de que no exista un mercado activo del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y en todo caso reconocer la ganancia en el momento de la realización. Por otra parte, si el caso es que si exista un mercado activo, coincidimos en que sería prudente reconocer el aumento de valor como reserva de patrimonio neto, la cual podría desafectarse en el momento de la realización efectiva del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Sin embargo, si las </w:t>
      </w:r>
      <w:proofErr w:type="spellStart"/>
      <w:r>
        <w:rPr>
          <w:rFonts w:ascii="Calibri" w:eastAsia="Calibri" w:hAnsi="Calibri" w:cs="Calibri"/>
          <w:sz w:val="22"/>
          <w:szCs w:val="22"/>
        </w:rPr>
        <w:t>NPCs</w:t>
      </w:r>
      <w:proofErr w:type="spellEnd"/>
      <w:r>
        <w:rPr>
          <w:rFonts w:ascii="Calibri" w:eastAsia="Calibri" w:hAnsi="Calibri" w:cs="Calibri"/>
          <w:sz w:val="22"/>
          <w:szCs w:val="22"/>
        </w:rPr>
        <w:t xml:space="preserve"> replicasen la posición de las NIIF en considerar a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como activos intangibles, el único método de medición que admitiría la RT 17 sería el de costo histórico, no pudiendo utilizarse el método de revaluación, y en tal caso se registraría la ganancia ante un aumento de valor sólo al momento de la realización.</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En las monedas conocidas con mercado activo, y en supuesto de valuación a costo histórico, deben registrarse las previsiones por desvalorización que surjan de la cotización correspondiente. Si la moneda no es tan conocida y no tiene un mercado o terceros para su validación, la empresa debería informar en notas, y ante una auditoría podría darse un problema de alcance.</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Las organizaciones que tengan como actividad principal a la compraventa de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a nuestro criterio, deberían exponer los ingresos por venta y los costos respectivos en las dos primeras líneas del estado de resultados. Si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son tratados como bienes de cambio, el costo se calculará al momento de la venta según el valor del activo ese momento, valor de reposición o VNR según el caso.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Asimismo, consideramos que aquellas organizaciones que realicen minería de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podrían, al momento de recibir fracciones de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como premio por descifrar el problema matemático, reconocer un activo al valor vigente, contra un resultado positivo por servicio brindado, y los costos del proceso de minería como costo de los servicios brindados, de modo de poder evaluar la utilidad bruta de la operación.</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proofErr w:type="spellStart"/>
      <w:r>
        <w:rPr>
          <w:rFonts w:ascii="Calibri" w:eastAsia="Calibri" w:hAnsi="Calibri" w:cs="Calibri"/>
          <w:b/>
          <w:sz w:val="22"/>
          <w:szCs w:val="22"/>
        </w:rPr>
        <w:t>Utility</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tokens</w:t>
      </w:r>
      <w:proofErr w:type="spellEnd"/>
      <w:r>
        <w:rPr>
          <w:rFonts w:ascii="Calibri" w:eastAsia="Calibri" w:hAnsi="Calibri" w:cs="Calibri"/>
          <w:b/>
          <w:sz w:val="22"/>
          <w:szCs w:val="22"/>
        </w:rPr>
        <w:t xml:space="preserve"> </w:t>
      </w:r>
    </w:p>
    <w:p w:rsidR="002938F6" w:rsidRDefault="007211A5">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Hemos mencionado que los </w:t>
      </w:r>
      <w:proofErr w:type="spellStart"/>
      <w:r>
        <w:rPr>
          <w:rFonts w:ascii="Calibri" w:eastAsia="Calibri" w:hAnsi="Calibri" w:cs="Calibri"/>
          <w:sz w:val="22"/>
          <w:szCs w:val="22"/>
        </w:rPr>
        <w:t>utility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son un tipo de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(a los ojos de quien los compra), que a su vez permiten a una determinada empresa financiarse.  Lo que constituye un </w:t>
      </w:r>
      <w:proofErr w:type="spellStart"/>
      <w:r>
        <w:rPr>
          <w:rFonts w:ascii="Calibri" w:eastAsia="Calibri" w:hAnsi="Calibri" w:cs="Calibri"/>
          <w:sz w:val="22"/>
          <w:szCs w:val="22"/>
        </w:rPr>
        <w:t>criptoactivo</w:t>
      </w:r>
      <w:proofErr w:type="spellEnd"/>
      <w:r>
        <w:rPr>
          <w:rFonts w:ascii="Calibri" w:eastAsia="Calibri" w:hAnsi="Calibri" w:cs="Calibri"/>
          <w:sz w:val="22"/>
          <w:szCs w:val="22"/>
        </w:rPr>
        <w:t xml:space="preserve"> a los ojos del inversor, trabaja como un </w:t>
      </w:r>
      <w:proofErr w:type="spellStart"/>
      <w:r>
        <w:rPr>
          <w:rFonts w:ascii="Calibri" w:eastAsia="Calibri" w:hAnsi="Calibri" w:cs="Calibri"/>
          <w:sz w:val="22"/>
          <w:szCs w:val="22"/>
        </w:rPr>
        <w:t>criptopasivo</w:t>
      </w:r>
      <w:proofErr w:type="spellEnd"/>
      <w:r>
        <w:rPr>
          <w:rFonts w:ascii="Calibri" w:eastAsia="Calibri" w:hAnsi="Calibri" w:cs="Calibri"/>
          <w:sz w:val="22"/>
          <w:szCs w:val="22"/>
        </w:rPr>
        <w:t xml:space="preserve"> a los ojos del emisor. </w:t>
      </w:r>
    </w:p>
    <w:p w:rsidR="002938F6" w:rsidRDefault="002938F6">
      <w:pPr>
        <w:pBdr>
          <w:top w:val="nil"/>
          <w:left w:val="nil"/>
          <w:bottom w:val="nil"/>
          <w:right w:val="nil"/>
          <w:between w:val="nil"/>
        </w:pBdr>
        <w:jc w:val="both"/>
        <w:rPr>
          <w:rFonts w:ascii="Calibri" w:eastAsia="Calibri" w:hAnsi="Calibri" w:cs="Calibri"/>
          <w:sz w:val="22"/>
          <w:szCs w:val="22"/>
        </w:rPr>
      </w:pPr>
    </w:p>
    <w:p w:rsidR="002938F6" w:rsidRDefault="007211A5">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En otras palabras, los </w:t>
      </w:r>
      <w:proofErr w:type="spellStart"/>
      <w:r>
        <w:rPr>
          <w:rFonts w:ascii="Calibri" w:eastAsia="Calibri" w:hAnsi="Calibri" w:cs="Calibri"/>
          <w:sz w:val="22"/>
          <w:szCs w:val="22"/>
        </w:rPr>
        <w:t>utility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que representan derechos a recibir bienes a nuestro criterio operan, en la contabilidad de quien los emite, como anticipos de cliente que fijan precio, ya que al emitirlos la empresa se compromete, por un valor fijo, a entregar un determinado bien en el futuro. Ejemplo de este supuesto, es el caso expuesto anteriormente de la empresa </w:t>
      </w:r>
      <w:proofErr w:type="spellStart"/>
      <w:r>
        <w:rPr>
          <w:rFonts w:ascii="Calibri" w:eastAsia="Calibri" w:hAnsi="Calibri" w:cs="Calibri"/>
          <w:sz w:val="22"/>
          <w:szCs w:val="22"/>
        </w:rPr>
        <w:t>Costaflores</w:t>
      </w:r>
      <w:proofErr w:type="spellEnd"/>
      <w:r>
        <w:rPr>
          <w:rFonts w:ascii="Calibri" w:eastAsia="Calibri" w:hAnsi="Calibri" w:cs="Calibri"/>
          <w:sz w:val="22"/>
          <w:szCs w:val="22"/>
        </w:rPr>
        <w:t xml:space="preserve"> que basa su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en el valor de la botella de vino.</w:t>
      </w:r>
    </w:p>
    <w:p w:rsidR="002938F6" w:rsidRDefault="002938F6">
      <w:pPr>
        <w:pBdr>
          <w:top w:val="nil"/>
          <w:left w:val="nil"/>
          <w:bottom w:val="nil"/>
          <w:right w:val="nil"/>
          <w:between w:val="nil"/>
        </w:pBdr>
        <w:jc w:val="both"/>
        <w:rPr>
          <w:rFonts w:ascii="Calibri" w:eastAsia="Calibri" w:hAnsi="Calibri" w:cs="Calibri"/>
          <w:sz w:val="22"/>
          <w:szCs w:val="22"/>
        </w:rPr>
      </w:pPr>
    </w:p>
    <w:p w:rsidR="002938F6" w:rsidRDefault="007211A5">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Analicemos entonces su tratamiento. La normas contables profesionales, al respecto sostienen, sobre los pasivos en especie: </w:t>
      </w:r>
    </w:p>
    <w:p w:rsidR="002938F6" w:rsidRDefault="007211A5">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lastRenderedPageBreak/>
        <w:t>“4.5.10. Los pasivos en especie asumidos contra la recepción de dinero se medirán de acuerdo con el importe recibido. En los restantes casos, se los registrará al valor corriente (a la fecha de la transacción) de los bienes o servicios a entregar.” (RT 17)</w:t>
      </w:r>
    </w:p>
    <w:p w:rsidR="002938F6" w:rsidRDefault="002938F6">
      <w:pPr>
        <w:pBdr>
          <w:top w:val="nil"/>
          <w:left w:val="nil"/>
          <w:bottom w:val="nil"/>
          <w:right w:val="nil"/>
          <w:between w:val="nil"/>
        </w:pBdr>
        <w:rPr>
          <w:rFonts w:ascii="Calibri" w:eastAsia="Calibri" w:hAnsi="Calibri" w:cs="Calibri"/>
          <w:sz w:val="22"/>
          <w:szCs w:val="22"/>
        </w:rPr>
      </w:pPr>
    </w:p>
    <w:p w:rsidR="002938F6" w:rsidRDefault="007211A5">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Y también:</w:t>
      </w:r>
    </w:p>
    <w:p w:rsidR="002938F6" w:rsidRDefault="007211A5">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“Los pasivos en especie se medirán de acuerdo con los criterios definidos para los anticipos de clientes que fijen precio.” (RT 41)</w:t>
      </w:r>
    </w:p>
    <w:p w:rsidR="002938F6" w:rsidRDefault="002938F6">
      <w:pPr>
        <w:pBdr>
          <w:top w:val="nil"/>
          <w:left w:val="nil"/>
          <w:bottom w:val="nil"/>
          <w:right w:val="nil"/>
          <w:between w:val="nil"/>
        </w:pBdr>
        <w:jc w:val="both"/>
        <w:rPr>
          <w:rFonts w:ascii="Calibri" w:eastAsia="Calibri" w:hAnsi="Calibri" w:cs="Calibri"/>
          <w:sz w:val="22"/>
          <w:szCs w:val="22"/>
        </w:rPr>
      </w:pPr>
    </w:p>
    <w:p w:rsidR="002938F6" w:rsidRDefault="007211A5">
      <w:pPr>
        <w:jc w:val="both"/>
        <w:rPr>
          <w:rFonts w:ascii="Calibri" w:eastAsia="Calibri" w:hAnsi="Calibri" w:cs="Calibri"/>
          <w:i/>
          <w:color w:val="0B5394"/>
          <w:sz w:val="22"/>
          <w:szCs w:val="22"/>
        </w:rPr>
      </w:pPr>
      <w:r>
        <w:rPr>
          <w:rFonts w:ascii="Calibri" w:eastAsia="Calibri" w:hAnsi="Calibri" w:cs="Calibri"/>
          <w:sz w:val="22"/>
          <w:szCs w:val="22"/>
        </w:rPr>
        <w:t xml:space="preserve">Es decir, que el valor inicial de este debe registrarse al importe recibido por quienes compran los </w:t>
      </w:r>
      <w:proofErr w:type="spellStart"/>
      <w:r>
        <w:rPr>
          <w:rFonts w:ascii="Calibri" w:eastAsia="Calibri" w:hAnsi="Calibri" w:cs="Calibri"/>
          <w:sz w:val="22"/>
          <w:szCs w:val="22"/>
        </w:rPr>
        <w:t>tokens</w:t>
      </w:r>
      <w:proofErr w:type="spellEnd"/>
      <w:r>
        <w:rPr>
          <w:rFonts w:ascii="Calibri" w:eastAsia="Calibri" w:hAnsi="Calibri" w:cs="Calibri"/>
          <w:sz w:val="22"/>
          <w:szCs w:val="22"/>
        </w:rPr>
        <w:t>, y el valor posterior según los criterios de anticipos de clientes que fijan precio. La normativa sostiene al respecto:</w:t>
      </w:r>
    </w:p>
    <w:p w:rsidR="002938F6" w:rsidRDefault="002938F6">
      <w:pPr>
        <w:jc w:val="both"/>
        <w:rPr>
          <w:rFonts w:ascii="Calibri" w:eastAsia="Calibri" w:hAnsi="Calibri" w:cs="Calibri"/>
          <w:i/>
          <w:color w:val="0B5394"/>
          <w:sz w:val="22"/>
          <w:szCs w:val="22"/>
        </w:rPr>
      </w:pPr>
    </w:p>
    <w:p w:rsidR="002938F6" w:rsidRDefault="007211A5">
      <w:pPr>
        <w:ind w:left="720"/>
        <w:jc w:val="both"/>
        <w:rPr>
          <w:rFonts w:ascii="Calibri" w:eastAsia="Calibri" w:hAnsi="Calibri" w:cs="Calibri"/>
          <w:b/>
          <w:i/>
          <w:sz w:val="22"/>
          <w:szCs w:val="22"/>
        </w:rPr>
      </w:pPr>
      <w:r>
        <w:rPr>
          <w:rFonts w:ascii="Calibri" w:eastAsia="Calibri" w:hAnsi="Calibri" w:cs="Calibri"/>
          <w:i/>
          <w:sz w:val="22"/>
          <w:szCs w:val="22"/>
        </w:rPr>
        <w:t>“4.2.4. (...) Cuando los anticipos de clientes hayan fijado el precio de los bienes y servicios a entregar, y la obligación consista en: a) entregar bienes que se encuentren en existencia, se los medirá por el importe asignado a dichos bienes más los costos adicionales necesarios para poner los bienes a disposición del acreedor; b) entregar bienes que no se encuentren en existencia pero que pueden ser adquiridos, se los medirá por su costo de adquisición a la fecha de la medición más los costos adicionales necesarios para poner los bienes a disposición del acreedor;</w:t>
      </w:r>
      <w:r>
        <w:rPr>
          <w:rFonts w:ascii="Calibri" w:eastAsia="Calibri" w:hAnsi="Calibri" w:cs="Calibri"/>
          <w:b/>
          <w:i/>
          <w:sz w:val="22"/>
          <w:szCs w:val="22"/>
        </w:rPr>
        <w:t xml:space="preserve"> c) entregar bienes que deben ser producidos, se los medirá por el importe mayor entre: i) las sumas recibidas, y ii) la suma de su costo de producción o construcción a la fecha de la medición más los costos adicionales necesarios para poner los bienes a disposición del acreedor.” </w:t>
      </w:r>
      <w:r>
        <w:rPr>
          <w:rFonts w:ascii="Calibri" w:eastAsia="Calibri" w:hAnsi="Calibri" w:cs="Calibri"/>
          <w:sz w:val="22"/>
          <w:szCs w:val="22"/>
        </w:rPr>
        <w:t>(RT 17)</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De esto se deduce que una empresa que emita a valor de costo un </w:t>
      </w:r>
      <w:proofErr w:type="spellStart"/>
      <w:r>
        <w:rPr>
          <w:rFonts w:ascii="Calibri" w:eastAsia="Calibri" w:hAnsi="Calibri" w:cs="Calibri"/>
          <w:sz w:val="22"/>
          <w:szCs w:val="22"/>
        </w:rPr>
        <w:t>token</w:t>
      </w:r>
      <w:proofErr w:type="spellEnd"/>
      <w:r>
        <w:rPr>
          <w:rFonts w:ascii="Calibri" w:eastAsia="Calibri" w:hAnsi="Calibri" w:cs="Calibri"/>
          <w:sz w:val="22"/>
          <w:szCs w:val="22"/>
        </w:rPr>
        <w:t xml:space="preserve"> sobre un bien a producir no modificaría el valor del pasivo a lo largo del tiempo a valores constantes (salvo que aumente el costo de producción a lo largo del tiempo). En otras palabras, si un </w:t>
      </w:r>
      <w:proofErr w:type="spellStart"/>
      <w:r>
        <w:rPr>
          <w:rFonts w:ascii="Calibri" w:eastAsia="Calibri" w:hAnsi="Calibri" w:cs="Calibri"/>
          <w:sz w:val="22"/>
          <w:szCs w:val="22"/>
        </w:rPr>
        <w:t>token</w:t>
      </w:r>
      <w:proofErr w:type="spellEnd"/>
      <w:r>
        <w:rPr>
          <w:rFonts w:ascii="Calibri" w:eastAsia="Calibri" w:hAnsi="Calibri" w:cs="Calibri"/>
          <w:sz w:val="22"/>
          <w:szCs w:val="22"/>
        </w:rPr>
        <w:t xml:space="preserve"> es emitido al costo, y el costo de producción del bien a entregar al redimir el </w:t>
      </w:r>
      <w:proofErr w:type="spellStart"/>
      <w:r>
        <w:rPr>
          <w:rFonts w:ascii="Calibri" w:eastAsia="Calibri" w:hAnsi="Calibri" w:cs="Calibri"/>
          <w:sz w:val="22"/>
          <w:szCs w:val="22"/>
        </w:rPr>
        <w:t>token</w:t>
      </w:r>
      <w:proofErr w:type="spellEnd"/>
      <w:r>
        <w:rPr>
          <w:rFonts w:ascii="Calibri" w:eastAsia="Calibri" w:hAnsi="Calibri" w:cs="Calibri"/>
          <w:sz w:val="22"/>
          <w:szCs w:val="22"/>
        </w:rPr>
        <w:t xml:space="preserve"> no se modifica, el pasivo se mantendrá siempre al valor original. Caso contrario, podrá incrementarse si sube el costo de producción por encima del importe inicialmente reconocido. En este último escenario, debería reconocerse un aumento del pasivo contra un resultado por tenencia negativo de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Por otra parte, si el </w:t>
      </w:r>
      <w:proofErr w:type="spellStart"/>
      <w:r>
        <w:rPr>
          <w:rFonts w:ascii="Calibri" w:eastAsia="Calibri" w:hAnsi="Calibri" w:cs="Calibri"/>
          <w:sz w:val="22"/>
          <w:szCs w:val="22"/>
        </w:rPr>
        <w:t>token</w:t>
      </w:r>
      <w:proofErr w:type="spellEnd"/>
      <w:r>
        <w:rPr>
          <w:rFonts w:ascii="Calibri" w:eastAsia="Calibri" w:hAnsi="Calibri" w:cs="Calibri"/>
          <w:sz w:val="22"/>
          <w:szCs w:val="22"/>
        </w:rPr>
        <w:t xml:space="preserve"> está emitido a un valor intermedio entre el precio de costo y el precio de venta habitual, lo más probable es que el valor de </w:t>
      </w:r>
      <w:proofErr w:type="spellStart"/>
      <w:r>
        <w:rPr>
          <w:rFonts w:ascii="Calibri" w:eastAsia="Calibri" w:hAnsi="Calibri" w:cs="Calibri"/>
          <w:sz w:val="22"/>
          <w:szCs w:val="22"/>
        </w:rPr>
        <w:t>token</w:t>
      </w:r>
      <w:proofErr w:type="spellEnd"/>
      <w:r>
        <w:rPr>
          <w:rFonts w:ascii="Calibri" w:eastAsia="Calibri" w:hAnsi="Calibri" w:cs="Calibri"/>
          <w:sz w:val="22"/>
          <w:szCs w:val="22"/>
        </w:rPr>
        <w:t xml:space="preserve"> se mantenga siempre por encima del costo de producción más costos adicionales necesarios para poner a disposición del acreedor los bienes, y por tanto se mantengan registrados a su valor original.</w:t>
      </w:r>
    </w:p>
    <w:p w:rsidR="002938F6" w:rsidRDefault="002938F6">
      <w:pPr>
        <w:jc w:val="both"/>
        <w:rPr>
          <w:rFonts w:ascii="Calibri" w:eastAsia="Calibri" w:hAnsi="Calibri" w:cs="Calibri"/>
          <w:i/>
          <w:sz w:val="22"/>
          <w:szCs w:val="22"/>
        </w:rPr>
      </w:pPr>
    </w:p>
    <w:p w:rsidR="002938F6" w:rsidRDefault="007211A5">
      <w:pPr>
        <w:rPr>
          <w:rFonts w:ascii="Calibri" w:eastAsia="Calibri" w:hAnsi="Calibri" w:cs="Calibri"/>
          <w:sz w:val="22"/>
          <w:szCs w:val="22"/>
        </w:rPr>
      </w:pPr>
      <w:r>
        <w:rPr>
          <w:rFonts w:ascii="Calibri" w:eastAsia="Calibri" w:hAnsi="Calibri" w:cs="Calibri"/>
          <w:sz w:val="22"/>
          <w:szCs w:val="22"/>
        </w:rPr>
        <w:t xml:space="preserve">Para graficar esta situación, podemos presentar un ejemplo simplificado, asumiendo que las operaciones fueran en pesos y sin comisiones, sólo a los fines de visualizar el tratamiento particular del </w:t>
      </w:r>
      <w:proofErr w:type="spellStart"/>
      <w:r>
        <w:rPr>
          <w:rFonts w:ascii="Calibri" w:eastAsia="Calibri" w:hAnsi="Calibri" w:cs="Calibri"/>
          <w:sz w:val="22"/>
          <w:szCs w:val="22"/>
        </w:rPr>
        <w:t>token</w:t>
      </w:r>
      <w:proofErr w:type="spellEnd"/>
      <w:r>
        <w:rPr>
          <w:rFonts w:ascii="Calibri" w:eastAsia="Calibri" w:hAnsi="Calibri" w:cs="Calibri"/>
          <w:sz w:val="22"/>
          <w:szCs w:val="22"/>
        </w:rPr>
        <w:t xml:space="preserve">. El ejemplo sería emitir un </w:t>
      </w:r>
      <w:proofErr w:type="spellStart"/>
      <w:r>
        <w:rPr>
          <w:rFonts w:ascii="Calibri" w:eastAsia="Calibri" w:hAnsi="Calibri" w:cs="Calibri"/>
          <w:sz w:val="22"/>
          <w:szCs w:val="22"/>
        </w:rPr>
        <w:t>token</w:t>
      </w:r>
      <w:proofErr w:type="spellEnd"/>
      <w:r>
        <w:rPr>
          <w:rFonts w:ascii="Calibri" w:eastAsia="Calibri" w:hAnsi="Calibri" w:cs="Calibri"/>
          <w:sz w:val="22"/>
          <w:szCs w:val="22"/>
        </w:rPr>
        <w:t xml:space="preserve"> a $100, luego producir los bienes a un costo de 80, y luego entregar el bien al acreedor.</w:t>
      </w:r>
    </w:p>
    <w:p w:rsidR="002938F6" w:rsidRDefault="002938F6">
      <w:pPr>
        <w:rPr>
          <w:rFonts w:ascii="Calibri" w:eastAsia="Calibri" w:hAnsi="Calibri" w:cs="Calibri"/>
          <w:sz w:val="22"/>
          <w:szCs w:val="22"/>
        </w:rPr>
      </w:pPr>
    </w:p>
    <w:p w:rsidR="002938F6" w:rsidRDefault="007211A5">
      <w:pPr>
        <w:jc w:val="center"/>
        <w:rPr>
          <w:rFonts w:ascii="Calibri" w:eastAsia="Calibri" w:hAnsi="Calibri" w:cs="Calibri"/>
          <w:sz w:val="18"/>
          <w:szCs w:val="18"/>
        </w:rPr>
      </w:pPr>
      <w:r>
        <w:rPr>
          <w:rFonts w:ascii="Calibri" w:eastAsia="Calibri" w:hAnsi="Calibri" w:cs="Calibri"/>
          <w:noProof/>
          <w:sz w:val="18"/>
          <w:szCs w:val="18"/>
        </w:rPr>
        <w:lastRenderedPageBreak/>
        <w:drawing>
          <wp:inline distT="114300" distB="114300" distL="114300" distR="114300">
            <wp:extent cx="3243263" cy="2701238"/>
            <wp:effectExtent l="12700" t="12700" r="12700" b="127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43263" cy="2701238"/>
                    </a:xfrm>
                    <a:prstGeom prst="rect">
                      <a:avLst/>
                    </a:prstGeom>
                    <a:ln w="12700">
                      <a:solidFill>
                        <a:srgbClr val="000000"/>
                      </a:solidFill>
                      <a:prstDash val="solid"/>
                    </a:ln>
                  </pic:spPr>
                </pic:pic>
              </a:graphicData>
            </a:graphic>
          </wp:inline>
        </w:drawing>
      </w:r>
      <w:r>
        <w:rPr>
          <w:rFonts w:ascii="Calibri" w:eastAsia="Calibri" w:hAnsi="Calibri" w:cs="Calibri"/>
          <w:sz w:val="18"/>
          <w:szCs w:val="18"/>
        </w:rPr>
        <w:t xml:space="preserve"> </w:t>
      </w:r>
    </w:p>
    <w:p w:rsidR="002938F6" w:rsidRDefault="002938F6">
      <w:pPr>
        <w:jc w:val="center"/>
        <w:rPr>
          <w:rFonts w:ascii="Calibri" w:eastAsia="Calibri" w:hAnsi="Calibri" w:cs="Calibri"/>
          <w:sz w:val="18"/>
          <w:szCs w:val="18"/>
        </w:rPr>
      </w:pPr>
    </w:p>
    <w:p w:rsidR="00907F0A" w:rsidRDefault="00907F0A" w:rsidP="00907F0A">
      <w:pPr>
        <w:rPr>
          <w:rFonts w:ascii="Calibri" w:eastAsia="Calibri" w:hAnsi="Calibri" w:cs="Calibri"/>
          <w:b/>
          <w:sz w:val="22"/>
          <w:szCs w:val="22"/>
        </w:rPr>
      </w:pPr>
    </w:p>
    <w:p w:rsidR="00012452" w:rsidRDefault="00012452" w:rsidP="00907F0A">
      <w:pPr>
        <w:rPr>
          <w:rFonts w:ascii="Calibri" w:eastAsia="Calibri" w:hAnsi="Calibri" w:cs="Calibri"/>
          <w:b/>
          <w:sz w:val="22"/>
          <w:szCs w:val="22"/>
        </w:rPr>
      </w:pPr>
    </w:p>
    <w:p w:rsidR="002938F6" w:rsidRDefault="00907F0A" w:rsidP="00907F0A">
      <w:pPr>
        <w:rPr>
          <w:rFonts w:ascii="Calibri" w:eastAsia="Calibri" w:hAnsi="Calibri" w:cs="Calibri"/>
          <w:b/>
          <w:sz w:val="22"/>
          <w:szCs w:val="22"/>
        </w:rPr>
      </w:pPr>
      <w:r>
        <w:rPr>
          <w:rFonts w:ascii="Calibri" w:eastAsia="Calibri" w:hAnsi="Calibri" w:cs="Calibri"/>
          <w:b/>
          <w:sz w:val="22"/>
          <w:szCs w:val="22"/>
        </w:rPr>
        <w:t>CONCLUSIONES</w:t>
      </w:r>
    </w:p>
    <w:p w:rsidR="00907F0A" w:rsidRDefault="00907F0A" w:rsidP="00907F0A">
      <w:pPr>
        <w:rPr>
          <w:rFonts w:ascii="Calibri" w:eastAsia="Calibri" w:hAnsi="Calibri" w:cs="Calibri"/>
          <w:b/>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Nuevas situaciones económicas presentan nuevos desafíos para los profesionales que asesoran las organizaciones. El avance en las tecnologías de la información seguramente continúe presentándonos nuevos dilemas a los profesionales en ciencias económicas, siempre que la  información contable busque ser un fiel reflejo de la realidad.</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Los tiempos de la tecnología están siendo, evidentemente, más ágiles qué los tiempos normativos. La escasez de regulación contable y tributaria en el mundo sobre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es reflejo patente de ello.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Seguramente diferentes legisladores y profesionales estén buscando en este mismo momento la mejor forma de construir un marco normativo al respecto. Este trabajo busca acompañar esta reflexión y aportar al tratamiento contable aspectos que hemos detectado insuficientemente desarrollados en la literatura.</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Si bien todavía hay muchos aspectos poco claros en relación a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nuestra investigación busca humildemente brindar luz sobre el tratamiento contable de los resultados asociados a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tanto si corresponden a un  </w:t>
      </w:r>
      <w:proofErr w:type="spellStart"/>
      <w:r>
        <w:rPr>
          <w:rFonts w:ascii="Calibri" w:eastAsia="Calibri" w:hAnsi="Calibri" w:cs="Calibri"/>
          <w:sz w:val="22"/>
          <w:szCs w:val="22"/>
        </w:rPr>
        <w:t>habitualista</w:t>
      </w:r>
      <w:proofErr w:type="spellEnd"/>
      <w:r>
        <w:rPr>
          <w:rFonts w:ascii="Calibri" w:eastAsia="Calibri" w:hAnsi="Calibri" w:cs="Calibri"/>
          <w:sz w:val="22"/>
          <w:szCs w:val="22"/>
        </w:rPr>
        <w:t xml:space="preserve"> (sea compraventa o minería) como a quien no lo es y utiliza los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con otros fines. También hemos presentado el tratamiento contable qué consideramos más adecuado para los </w:t>
      </w:r>
      <w:proofErr w:type="spellStart"/>
      <w:r>
        <w:rPr>
          <w:rFonts w:ascii="Calibri" w:eastAsia="Calibri" w:hAnsi="Calibri" w:cs="Calibri"/>
          <w:sz w:val="22"/>
          <w:szCs w:val="22"/>
        </w:rPr>
        <w:t>utility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tokens</w:t>
      </w:r>
      <w:proofErr w:type="spellEnd"/>
      <w:r>
        <w:rPr>
          <w:rFonts w:ascii="Calibri" w:eastAsia="Calibri" w:hAnsi="Calibri" w:cs="Calibri"/>
          <w:sz w:val="22"/>
          <w:szCs w:val="22"/>
        </w:rPr>
        <w:t xml:space="preserve">, al que nos atrevemos a llamar, desde el punto de vista del emisor, </w:t>
      </w:r>
      <w:proofErr w:type="spellStart"/>
      <w:r>
        <w:rPr>
          <w:rFonts w:ascii="Calibri" w:eastAsia="Calibri" w:hAnsi="Calibri" w:cs="Calibri"/>
          <w:sz w:val="22"/>
          <w:szCs w:val="22"/>
        </w:rPr>
        <w:t>criptopasivos</w:t>
      </w:r>
      <w:proofErr w:type="spellEnd"/>
      <w:r>
        <w:rPr>
          <w:rFonts w:ascii="Calibri" w:eastAsia="Calibri" w:hAnsi="Calibri" w:cs="Calibri"/>
          <w:sz w:val="22"/>
          <w:szCs w:val="22"/>
        </w:rPr>
        <w:t xml:space="preserve">. </w:t>
      </w:r>
    </w:p>
    <w:p w:rsidR="002938F6" w:rsidRDefault="002938F6">
      <w:pPr>
        <w:jc w:val="both"/>
        <w:rPr>
          <w:rFonts w:ascii="Calibri" w:eastAsia="Calibri" w:hAnsi="Calibri" w:cs="Calibri"/>
          <w:sz w:val="22"/>
          <w:szCs w:val="22"/>
        </w:rPr>
      </w:pPr>
    </w:p>
    <w:p w:rsidR="002938F6" w:rsidRDefault="007211A5">
      <w:pPr>
        <w:jc w:val="both"/>
        <w:rPr>
          <w:rFonts w:ascii="Calibri" w:eastAsia="Calibri" w:hAnsi="Calibri" w:cs="Calibri"/>
          <w:sz w:val="22"/>
          <w:szCs w:val="22"/>
        </w:rPr>
      </w:pPr>
      <w:r>
        <w:rPr>
          <w:rFonts w:ascii="Calibri" w:eastAsia="Calibri" w:hAnsi="Calibri" w:cs="Calibri"/>
          <w:sz w:val="22"/>
          <w:szCs w:val="22"/>
        </w:rPr>
        <w:t xml:space="preserve">Esperamos qué les sea de utilidad a quiénes tienen en sus manos la tarea de redactar normativa adecuada, así como también a todos los profesionales qué permanentemente procuran estar actualizados. </w:t>
      </w:r>
    </w:p>
    <w:p w:rsidR="002938F6" w:rsidRDefault="002938F6">
      <w:pPr>
        <w:rPr>
          <w:rFonts w:ascii="Calibri" w:eastAsia="Calibri" w:hAnsi="Calibri" w:cs="Calibri"/>
          <w:sz w:val="22"/>
          <w:szCs w:val="22"/>
        </w:rPr>
      </w:pPr>
    </w:p>
    <w:p w:rsidR="002938F6" w:rsidRDefault="002938F6">
      <w:pPr>
        <w:rPr>
          <w:rFonts w:ascii="Calibri" w:eastAsia="Calibri" w:hAnsi="Calibri" w:cs="Calibri"/>
          <w:sz w:val="22"/>
          <w:szCs w:val="22"/>
        </w:rPr>
      </w:pPr>
    </w:p>
    <w:p w:rsidR="002938F6" w:rsidRDefault="007211A5">
      <w:pPr>
        <w:rPr>
          <w:rFonts w:ascii="Calibri" w:eastAsia="Calibri" w:hAnsi="Calibri" w:cs="Calibri"/>
          <w:b/>
          <w:sz w:val="22"/>
          <w:szCs w:val="22"/>
        </w:rPr>
      </w:pPr>
      <w:r>
        <w:rPr>
          <w:rFonts w:ascii="Calibri" w:eastAsia="Calibri" w:hAnsi="Calibri" w:cs="Calibri"/>
          <w:b/>
          <w:sz w:val="22"/>
          <w:szCs w:val="22"/>
        </w:rPr>
        <w:t>REFERENCIAS BIBLIOGRÁFICAS</w:t>
      </w:r>
    </w:p>
    <w:p w:rsidR="002938F6" w:rsidRDefault="002938F6">
      <w:pPr>
        <w:rPr>
          <w:rFonts w:ascii="Calibri" w:eastAsia="Calibri" w:hAnsi="Calibri" w:cs="Calibri"/>
          <w:b/>
          <w:sz w:val="22"/>
          <w:szCs w:val="22"/>
        </w:rPr>
      </w:pPr>
    </w:p>
    <w:p w:rsidR="002938F6" w:rsidRDefault="007211A5">
      <w:pPr>
        <w:ind w:firstLine="720"/>
        <w:jc w:val="both"/>
        <w:rPr>
          <w:rFonts w:ascii="Calibri" w:eastAsia="Calibri" w:hAnsi="Calibri" w:cs="Calibri"/>
          <w:sz w:val="22"/>
          <w:szCs w:val="22"/>
        </w:rPr>
      </w:pPr>
      <w:proofErr w:type="spellStart"/>
      <w:r>
        <w:rPr>
          <w:rFonts w:ascii="Calibri" w:eastAsia="Calibri" w:hAnsi="Calibri" w:cs="Calibri"/>
          <w:sz w:val="22"/>
          <w:szCs w:val="22"/>
        </w:rPr>
        <w:t>Aballay</w:t>
      </w:r>
      <w:proofErr w:type="spellEnd"/>
      <w:r>
        <w:rPr>
          <w:rFonts w:ascii="Calibri" w:eastAsia="Calibri" w:hAnsi="Calibri" w:cs="Calibri"/>
          <w:sz w:val="22"/>
          <w:szCs w:val="22"/>
        </w:rPr>
        <w:t xml:space="preserve">, V et al (2021).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en Argentina: una mirada integral de la nueva moneda digital. Ed. </w:t>
      </w:r>
      <w:proofErr w:type="spellStart"/>
      <w:r>
        <w:rPr>
          <w:rFonts w:ascii="Calibri" w:eastAsia="Calibri" w:hAnsi="Calibri" w:cs="Calibri"/>
          <w:sz w:val="22"/>
          <w:szCs w:val="22"/>
        </w:rPr>
        <w:t>Errepar</w:t>
      </w:r>
      <w:proofErr w:type="spellEnd"/>
      <w:r>
        <w:rPr>
          <w:rFonts w:ascii="Calibri" w:eastAsia="Calibri" w:hAnsi="Calibri" w:cs="Calibri"/>
          <w:sz w:val="22"/>
          <w:szCs w:val="22"/>
        </w:rPr>
        <w:t>.</w:t>
      </w:r>
    </w:p>
    <w:p w:rsidR="002938F6" w:rsidRDefault="007211A5">
      <w:pPr>
        <w:ind w:firstLine="720"/>
        <w:jc w:val="both"/>
        <w:rPr>
          <w:rFonts w:ascii="Calibri" w:eastAsia="Calibri" w:hAnsi="Calibri" w:cs="Calibri"/>
          <w:sz w:val="22"/>
          <w:szCs w:val="22"/>
        </w:rPr>
      </w:pPr>
      <w:r>
        <w:rPr>
          <w:rFonts w:ascii="Calibri" w:eastAsia="Calibri" w:hAnsi="Calibri" w:cs="Calibri"/>
          <w:sz w:val="22"/>
          <w:szCs w:val="22"/>
        </w:rPr>
        <w:lastRenderedPageBreak/>
        <w:t xml:space="preserve">Caamaño, J. (7 de abril de 2018). ‘La bodega </w:t>
      </w:r>
      <w:proofErr w:type="spellStart"/>
      <w:r>
        <w:rPr>
          <w:rFonts w:ascii="Calibri" w:eastAsia="Calibri" w:hAnsi="Calibri" w:cs="Calibri"/>
          <w:sz w:val="22"/>
          <w:szCs w:val="22"/>
        </w:rPr>
        <w:t>Costaflores</w:t>
      </w:r>
      <w:proofErr w:type="spellEnd"/>
      <w:r>
        <w:rPr>
          <w:rFonts w:ascii="Calibri" w:eastAsia="Calibri" w:hAnsi="Calibri" w:cs="Calibri"/>
          <w:sz w:val="22"/>
          <w:szCs w:val="22"/>
        </w:rPr>
        <w:t xml:space="preserve"> lanzó una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basada en el valor del vino’. Diario La Capital Mar del Plata. En: </w:t>
      </w:r>
      <w:hyperlink r:id="rId10">
        <w:r>
          <w:rPr>
            <w:rFonts w:ascii="Calibri" w:eastAsia="Calibri" w:hAnsi="Calibri" w:cs="Calibri"/>
            <w:color w:val="1155CC"/>
            <w:sz w:val="22"/>
            <w:szCs w:val="22"/>
            <w:u w:val="single"/>
          </w:rPr>
          <w:t>https://www.lacapitalmdp.com/la-bodega-costaflores-lanzo-una-criptomoneda-basada-en-el-valor-del-vino/</w:t>
        </w:r>
      </w:hyperlink>
      <w:r>
        <w:rPr>
          <w:rFonts w:ascii="Calibri" w:eastAsia="Calibri" w:hAnsi="Calibri" w:cs="Calibri"/>
          <w:sz w:val="22"/>
          <w:szCs w:val="22"/>
        </w:rPr>
        <w:t xml:space="preserve"> </w:t>
      </w:r>
    </w:p>
    <w:p w:rsidR="002938F6" w:rsidRDefault="007211A5">
      <w:pPr>
        <w:ind w:firstLine="720"/>
        <w:jc w:val="both"/>
        <w:rPr>
          <w:rFonts w:ascii="Calibri" w:eastAsia="Calibri" w:hAnsi="Calibri" w:cs="Calibri"/>
          <w:sz w:val="22"/>
          <w:szCs w:val="22"/>
          <w:highlight w:val="white"/>
        </w:rPr>
      </w:pPr>
      <w:r>
        <w:rPr>
          <w:rFonts w:ascii="Calibri" w:eastAsia="Calibri" w:hAnsi="Calibri" w:cs="Calibri"/>
          <w:sz w:val="22"/>
          <w:szCs w:val="22"/>
          <w:highlight w:val="white"/>
        </w:rPr>
        <w:t xml:space="preserve">Casal, Miguel Armando (2020). La contabilidad de las </w:t>
      </w:r>
      <w:proofErr w:type="spellStart"/>
      <w:r>
        <w:rPr>
          <w:rFonts w:ascii="Calibri" w:eastAsia="Calibri" w:hAnsi="Calibri" w:cs="Calibri"/>
          <w:sz w:val="22"/>
          <w:szCs w:val="22"/>
          <w:highlight w:val="white"/>
        </w:rPr>
        <w:t>criptomonedas</w:t>
      </w:r>
      <w:proofErr w:type="spellEnd"/>
      <w:r>
        <w:rPr>
          <w:rFonts w:ascii="Calibri" w:eastAsia="Calibri" w:hAnsi="Calibri" w:cs="Calibri"/>
          <w:sz w:val="22"/>
          <w:szCs w:val="22"/>
          <w:highlight w:val="white"/>
        </w:rPr>
        <w:t xml:space="preserve"> o monedas digitales. </w:t>
      </w:r>
      <w:proofErr w:type="spellStart"/>
      <w:r>
        <w:rPr>
          <w:rFonts w:ascii="Calibri" w:eastAsia="Calibri" w:hAnsi="Calibri" w:cs="Calibri"/>
          <w:sz w:val="22"/>
          <w:szCs w:val="22"/>
          <w:highlight w:val="white"/>
        </w:rPr>
        <w:t>Errepar</w:t>
      </w:r>
      <w:proofErr w:type="spellEnd"/>
      <w:r>
        <w:rPr>
          <w:rFonts w:ascii="Calibri" w:eastAsia="Calibri" w:hAnsi="Calibri" w:cs="Calibri"/>
          <w:sz w:val="22"/>
          <w:szCs w:val="22"/>
          <w:highlight w:val="white"/>
        </w:rPr>
        <w:t>. 2020</w:t>
      </w:r>
    </w:p>
    <w:p w:rsidR="002938F6" w:rsidRDefault="007211A5">
      <w:pPr>
        <w:ind w:firstLine="720"/>
        <w:jc w:val="both"/>
        <w:rPr>
          <w:rFonts w:ascii="Calibri" w:eastAsia="Calibri" w:hAnsi="Calibri" w:cs="Calibri"/>
          <w:sz w:val="22"/>
          <w:szCs w:val="22"/>
          <w:highlight w:val="white"/>
        </w:rPr>
      </w:pPr>
      <w:proofErr w:type="spellStart"/>
      <w:r>
        <w:rPr>
          <w:rFonts w:ascii="Calibri" w:eastAsia="Calibri" w:hAnsi="Calibri" w:cs="Calibri"/>
          <w:sz w:val="22"/>
          <w:szCs w:val="22"/>
          <w:highlight w:val="white"/>
        </w:rPr>
        <w:t>Cóccaro</w:t>
      </w:r>
      <w:proofErr w:type="spellEnd"/>
      <w:r>
        <w:rPr>
          <w:rFonts w:ascii="Calibri" w:eastAsia="Calibri" w:hAnsi="Calibri" w:cs="Calibri"/>
          <w:sz w:val="22"/>
          <w:szCs w:val="22"/>
          <w:highlight w:val="white"/>
        </w:rPr>
        <w:t xml:space="preserve">, Ana M. (2021) </w:t>
      </w:r>
      <w:proofErr w:type="spellStart"/>
      <w:r>
        <w:rPr>
          <w:rFonts w:ascii="Calibri" w:eastAsia="Calibri" w:hAnsi="Calibri" w:cs="Calibri"/>
          <w:sz w:val="22"/>
          <w:szCs w:val="22"/>
          <w:highlight w:val="white"/>
        </w:rPr>
        <w:t>Criptomonedas</w:t>
      </w:r>
      <w:proofErr w:type="spellEnd"/>
      <w:r>
        <w:rPr>
          <w:rFonts w:ascii="Calibri" w:eastAsia="Calibri" w:hAnsi="Calibri" w:cs="Calibri"/>
          <w:sz w:val="22"/>
          <w:szCs w:val="22"/>
          <w:highlight w:val="white"/>
        </w:rPr>
        <w:t>: Un desafío para la Contabilidad y Auditoría</w:t>
      </w:r>
    </w:p>
    <w:p w:rsidR="002938F6" w:rsidRDefault="007211A5">
      <w:pPr>
        <w:ind w:firstLine="720"/>
        <w:jc w:val="both"/>
        <w:rPr>
          <w:rFonts w:ascii="Calibri" w:eastAsia="Calibri" w:hAnsi="Calibri" w:cs="Calibri"/>
          <w:sz w:val="22"/>
          <w:szCs w:val="22"/>
          <w:highlight w:val="white"/>
        </w:rPr>
      </w:pPr>
      <w:proofErr w:type="spellStart"/>
      <w:r>
        <w:rPr>
          <w:rFonts w:ascii="Calibri" w:eastAsia="Calibri" w:hAnsi="Calibri" w:cs="Calibri"/>
          <w:sz w:val="22"/>
          <w:szCs w:val="22"/>
        </w:rPr>
        <w:t>Costaflores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Organic</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Vineyard</w:t>
      </w:r>
      <w:proofErr w:type="spellEnd"/>
      <w:r>
        <w:rPr>
          <w:rFonts w:ascii="Calibri" w:eastAsia="Calibri" w:hAnsi="Calibri" w:cs="Calibri"/>
          <w:sz w:val="22"/>
          <w:szCs w:val="22"/>
        </w:rPr>
        <w:t xml:space="preserve">. En: </w:t>
      </w:r>
      <w:hyperlink r:id="rId11">
        <w:r>
          <w:rPr>
            <w:rFonts w:ascii="Calibri" w:eastAsia="Calibri" w:hAnsi="Calibri" w:cs="Calibri"/>
            <w:color w:val="1155CC"/>
            <w:sz w:val="22"/>
            <w:szCs w:val="22"/>
            <w:u w:val="single"/>
          </w:rPr>
          <w:t>https://costaflores.com/</w:t>
        </w:r>
      </w:hyperlink>
      <w:r>
        <w:rPr>
          <w:rFonts w:ascii="Calibri" w:eastAsia="Calibri" w:hAnsi="Calibri" w:cs="Calibri"/>
          <w:sz w:val="22"/>
          <w:szCs w:val="22"/>
        </w:rPr>
        <w:t xml:space="preserve"> </w:t>
      </w:r>
    </w:p>
    <w:p w:rsidR="002938F6" w:rsidRDefault="007211A5">
      <w:pPr>
        <w:ind w:firstLine="720"/>
        <w:jc w:val="both"/>
        <w:rPr>
          <w:rFonts w:ascii="Calibri" w:eastAsia="Calibri" w:hAnsi="Calibri" w:cs="Calibri"/>
          <w:sz w:val="22"/>
          <w:szCs w:val="22"/>
          <w:highlight w:val="white"/>
        </w:rPr>
      </w:pPr>
      <w:proofErr w:type="spellStart"/>
      <w:r>
        <w:rPr>
          <w:rFonts w:ascii="Calibri" w:eastAsia="Calibri" w:hAnsi="Calibri" w:cs="Calibri"/>
          <w:sz w:val="22"/>
          <w:szCs w:val="22"/>
          <w:highlight w:val="white"/>
        </w:rPr>
        <w:t>Deloitte</w:t>
      </w:r>
      <w:proofErr w:type="spellEnd"/>
      <w:r>
        <w:rPr>
          <w:rFonts w:ascii="Calibri" w:eastAsia="Calibri" w:hAnsi="Calibri" w:cs="Calibri"/>
          <w:sz w:val="22"/>
          <w:szCs w:val="22"/>
          <w:highlight w:val="white"/>
        </w:rPr>
        <w:t xml:space="preserve"> (2018) </w:t>
      </w:r>
      <w:proofErr w:type="spellStart"/>
      <w:r>
        <w:rPr>
          <w:rFonts w:ascii="Calibri" w:eastAsia="Calibri" w:hAnsi="Calibri" w:cs="Calibri"/>
          <w:sz w:val="22"/>
          <w:szCs w:val="22"/>
          <w:highlight w:val="white"/>
        </w:rPr>
        <w:t>Thinking</w:t>
      </w:r>
      <w:proofErr w:type="spellEnd"/>
      <w:r>
        <w:rPr>
          <w:rFonts w:ascii="Calibri" w:eastAsia="Calibri" w:hAnsi="Calibri" w:cs="Calibri"/>
          <w:sz w:val="22"/>
          <w:szCs w:val="22"/>
          <w:highlight w:val="white"/>
        </w:rPr>
        <w:t xml:space="preserve"> </w:t>
      </w:r>
      <w:proofErr w:type="spellStart"/>
      <w:r>
        <w:rPr>
          <w:rFonts w:ascii="Calibri" w:eastAsia="Calibri" w:hAnsi="Calibri" w:cs="Calibri"/>
          <w:sz w:val="22"/>
          <w:szCs w:val="22"/>
          <w:highlight w:val="white"/>
        </w:rPr>
        <w:t>Allowed</w:t>
      </w:r>
      <w:proofErr w:type="spellEnd"/>
      <w:r>
        <w:rPr>
          <w:rFonts w:ascii="Calibri" w:eastAsia="Calibri" w:hAnsi="Calibri" w:cs="Calibri"/>
          <w:sz w:val="22"/>
          <w:szCs w:val="22"/>
          <w:highlight w:val="white"/>
        </w:rPr>
        <w:t xml:space="preserve"> </w:t>
      </w:r>
      <w:proofErr w:type="spellStart"/>
      <w:r>
        <w:rPr>
          <w:rFonts w:ascii="Calibri" w:eastAsia="Calibri" w:hAnsi="Calibri" w:cs="Calibri"/>
          <w:sz w:val="22"/>
          <w:szCs w:val="22"/>
          <w:highlight w:val="white"/>
        </w:rPr>
        <w:t>Criptomoneda</w:t>
      </w:r>
      <w:proofErr w:type="spellEnd"/>
      <w:r>
        <w:rPr>
          <w:rFonts w:ascii="Calibri" w:eastAsia="Calibri" w:hAnsi="Calibri" w:cs="Calibri"/>
          <w:sz w:val="22"/>
          <w:szCs w:val="22"/>
          <w:highlight w:val="white"/>
        </w:rPr>
        <w:t>: implicaciones para la presentación de reportes financieros . En: https://www2.deloitte.com/content/dam/Deloitte/pe/Documents/audit/Permitido%20pensar%20Criptomonedas.pdf</w:t>
      </w:r>
    </w:p>
    <w:p w:rsidR="002938F6" w:rsidRDefault="007211A5">
      <w:pPr>
        <w:ind w:firstLine="720"/>
        <w:jc w:val="both"/>
        <w:rPr>
          <w:rFonts w:ascii="Calibri" w:eastAsia="Calibri" w:hAnsi="Calibri" w:cs="Calibri"/>
          <w:sz w:val="22"/>
          <w:szCs w:val="22"/>
          <w:highlight w:val="white"/>
        </w:rPr>
      </w:pPr>
      <w:proofErr w:type="spellStart"/>
      <w:r>
        <w:rPr>
          <w:rFonts w:ascii="Calibri" w:eastAsia="Calibri" w:hAnsi="Calibri" w:cs="Calibri"/>
          <w:sz w:val="22"/>
          <w:szCs w:val="22"/>
          <w:highlight w:val="white"/>
        </w:rPr>
        <w:t>Errepar</w:t>
      </w:r>
      <w:proofErr w:type="spellEnd"/>
      <w:r>
        <w:rPr>
          <w:rFonts w:ascii="Calibri" w:eastAsia="Calibri" w:hAnsi="Calibri" w:cs="Calibri"/>
          <w:sz w:val="22"/>
          <w:szCs w:val="22"/>
          <w:highlight w:val="white"/>
        </w:rPr>
        <w:t xml:space="preserve"> (2020) Cuestiones Contables. La contabilidad de las </w:t>
      </w:r>
      <w:proofErr w:type="spellStart"/>
      <w:r>
        <w:rPr>
          <w:rFonts w:ascii="Calibri" w:eastAsia="Calibri" w:hAnsi="Calibri" w:cs="Calibri"/>
          <w:sz w:val="22"/>
          <w:szCs w:val="22"/>
          <w:highlight w:val="white"/>
        </w:rPr>
        <w:t>criptomonedas</w:t>
      </w:r>
      <w:proofErr w:type="spellEnd"/>
      <w:r>
        <w:rPr>
          <w:rFonts w:ascii="Calibri" w:eastAsia="Calibri" w:hAnsi="Calibri" w:cs="Calibri"/>
          <w:sz w:val="22"/>
          <w:szCs w:val="22"/>
          <w:highlight w:val="white"/>
        </w:rPr>
        <w:t xml:space="preserve"> y monedas digitales. Revista Profesional y Empresaria (D＆G), Noviembre 2020.</w:t>
      </w:r>
    </w:p>
    <w:p w:rsidR="002938F6" w:rsidRDefault="007211A5">
      <w:pPr>
        <w:ind w:firstLine="720"/>
        <w:jc w:val="both"/>
        <w:rPr>
          <w:rFonts w:ascii="Calibri" w:eastAsia="Calibri" w:hAnsi="Calibri" w:cs="Calibri"/>
          <w:sz w:val="22"/>
          <w:szCs w:val="22"/>
        </w:rPr>
      </w:pPr>
      <w:proofErr w:type="spellStart"/>
      <w:r>
        <w:rPr>
          <w:rFonts w:ascii="Calibri" w:eastAsia="Calibri" w:hAnsi="Calibri" w:cs="Calibri"/>
          <w:sz w:val="22"/>
          <w:szCs w:val="22"/>
          <w:highlight w:val="white"/>
        </w:rPr>
        <w:t>Fowler</w:t>
      </w:r>
      <w:proofErr w:type="spellEnd"/>
      <w:r>
        <w:rPr>
          <w:rFonts w:ascii="Calibri" w:eastAsia="Calibri" w:hAnsi="Calibri" w:cs="Calibri"/>
          <w:sz w:val="22"/>
          <w:szCs w:val="22"/>
          <w:highlight w:val="white"/>
        </w:rPr>
        <w:t xml:space="preserve"> Newton, E. (2010). Contabilidad superior (No. 657.3/F78c/v. 1/6a. e</w:t>
      </w:r>
      <w:r>
        <w:rPr>
          <w:rFonts w:ascii="Calibri" w:eastAsia="Calibri" w:hAnsi="Calibri" w:cs="Calibri"/>
          <w:sz w:val="22"/>
          <w:szCs w:val="22"/>
        </w:rPr>
        <w:t>d.).</w:t>
      </w:r>
    </w:p>
    <w:p w:rsidR="002938F6" w:rsidRDefault="007211A5">
      <w:pPr>
        <w:ind w:firstLine="720"/>
        <w:jc w:val="both"/>
        <w:rPr>
          <w:rFonts w:ascii="Calibri" w:eastAsia="Calibri" w:hAnsi="Calibri" w:cs="Calibri"/>
          <w:sz w:val="22"/>
          <w:szCs w:val="22"/>
          <w:highlight w:val="green"/>
        </w:rPr>
      </w:pPr>
      <w:proofErr w:type="spellStart"/>
      <w:r>
        <w:rPr>
          <w:rFonts w:ascii="Calibri" w:eastAsia="Calibri" w:hAnsi="Calibri" w:cs="Calibri"/>
          <w:sz w:val="22"/>
          <w:szCs w:val="22"/>
        </w:rPr>
        <w:t>Goenaga</w:t>
      </w:r>
      <w:proofErr w:type="spellEnd"/>
      <w:r>
        <w:rPr>
          <w:rFonts w:ascii="Calibri" w:eastAsia="Calibri" w:hAnsi="Calibri" w:cs="Calibri"/>
          <w:sz w:val="22"/>
          <w:szCs w:val="22"/>
        </w:rPr>
        <w:t xml:space="preserve">, A. et al (2021). Alternativas de reconocimiento contable de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w:t>
      </w:r>
      <w:r>
        <w:rPr>
          <w:rFonts w:ascii="Calibri" w:eastAsia="Calibri" w:hAnsi="Calibri" w:cs="Calibri"/>
          <w:i/>
          <w:sz w:val="22"/>
          <w:szCs w:val="22"/>
        </w:rPr>
        <w:t>Centro de Estudios de Administración</w:t>
      </w:r>
      <w:r>
        <w:rPr>
          <w:rFonts w:ascii="Calibri" w:eastAsia="Calibri" w:hAnsi="Calibri" w:cs="Calibri"/>
          <w:sz w:val="22"/>
          <w:szCs w:val="22"/>
        </w:rPr>
        <w:t xml:space="preserve">, </w:t>
      </w:r>
      <w:r>
        <w:rPr>
          <w:rFonts w:ascii="Calibri" w:eastAsia="Calibri" w:hAnsi="Calibri" w:cs="Calibri"/>
          <w:i/>
          <w:sz w:val="22"/>
          <w:szCs w:val="22"/>
        </w:rPr>
        <w:t>5</w:t>
      </w:r>
      <w:r>
        <w:rPr>
          <w:rFonts w:ascii="Calibri" w:eastAsia="Calibri" w:hAnsi="Calibri" w:cs="Calibri"/>
          <w:sz w:val="22"/>
          <w:szCs w:val="22"/>
        </w:rPr>
        <w:t>(1), 28-49.</w:t>
      </w:r>
    </w:p>
    <w:p w:rsidR="002938F6" w:rsidRDefault="007211A5">
      <w:pPr>
        <w:ind w:firstLine="720"/>
        <w:jc w:val="both"/>
        <w:rPr>
          <w:rFonts w:ascii="Calibri" w:eastAsia="Calibri" w:hAnsi="Calibri" w:cs="Calibri"/>
          <w:sz w:val="22"/>
          <w:szCs w:val="22"/>
        </w:rPr>
      </w:pPr>
      <w:r>
        <w:rPr>
          <w:rFonts w:ascii="Calibri" w:eastAsia="Calibri" w:hAnsi="Calibri" w:cs="Calibri"/>
          <w:sz w:val="22"/>
          <w:szCs w:val="22"/>
        </w:rPr>
        <w:t xml:space="preserve">IBM (2018) </w:t>
      </w:r>
      <w:proofErr w:type="spellStart"/>
      <w:r>
        <w:rPr>
          <w:rFonts w:ascii="Calibri" w:eastAsia="Calibri" w:hAnsi="Calibri" w:cs="Calibri"/>
          <w:sz w:val="22"/>
          <w:szCs w:val="22"/>
        </w:rPr>
        <w:t>Moving</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to</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token-driven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economy</w:t>
      </w:r>
      <w:proofErr w:type="spellEnd"/>
      <w:r>
        <w:rPr>
          <w:rFonts w:ascii="Calibri" w:eastAsia="Calibri" w:hAnsi="Calibri" w:cs="Calibri"/>
          <w:sz w:val="22"/>
          <w:szCs w:val="22"/>
        </w:rPr>
        <w:t xml:space="preserve">. En: </w:t>
      </w:r>
      <w:hyperlink r:id="rId12">
        <w:r>
          <w:rPr>
            <w:rFonts w:ascii="Calibri" w:eastAsia="Calibri" w:hAnsi="Calibri" w:cs="Calibri"/>
            <w:color w:val="1155CC"/>
            <w:sz w:val="22"/>
            <w:szCs w:val="22"/>
            <w:u w:val="single"/>
          </w:rPr>
          <w:t>https://www.ibm.com/downloads/cas/YMRKPOJ8</w:t>
        </w:r>
      </w:hyperlink>
    </w:p>
    <w:p w:rsidR="002938F6" w:rsidRDefault="007211A5">
      <w:pPr>
        <w:ind w:firstLine="720"/>
        <w:jc w:val="both"/>
        <w:rPr>
          <w:rFonts w:ascii="Calibri" w:eastAsia="Calibri" w:hAnsi="Calibri" w:cs="Calibri"/>
          <w:sz w:val="22"/>
          <w:szCs w:val="22"/>
        </w:rPr>
      </w:pPr>
      <w:r>
        <w:rPr>
          <w:rFonts w:ascii="Calibri" w:eastAsia="Calibri" w:hAnsi="Calibri" w:cs="Calibri"/>
          <w:sz w:val="22"/>
          <w:szCs w:val="22"/>
        </w:rPr>
        <w:t xml:space="preserve">Luján 365 (5 de abril de 2018). ‘Bodega Costa Flores lanza su </w:t>
      </w:r>
      <w:proofErr w:type="spellStart"/>
      <w:r>
        <w:rPr>
          <w:rFonts w:ascii="Calibri" w:eastAsia="Calibri" w:hAnsi="Calibri" w:cs="Calibri"/>
          <w:sz w:val="22"/>
          <w:szCs w:val="22"/>
        </w:rPr>
        <w:t>criptomoneda</w:t>
      </w:r>
      <w:proofErr w:type="spellEnd"/>
      <w:r>
        <w:rPr>
          <w:rFonts w:ascii="Calibri" w:eastAsia="Calibri" w:hAnsi="Calibri" w:cs="Calibri"/>
          <w:sz w:val="22"/>
          <w:szCs w:val="22"/>
        </w:rPr>
        <w:t xml:space="preserve"> para vender sus vinos’. Diario Lujan365. En: </w:t>
      </w:r>
      <w:hyperlink r:id="rId13">
        <w:r>
          <w:rPr>
            <w:rFonts w:ascii="Calibri" w:eastAsia="Calibri" w:hAnsi="Calibri" w:cs="Calibri"/>
            <w:color w:val="1155CC"/>
            <w:sz w:val="22"/>
            <w:szCs w:val="22"/>
            <w:u w:val="single"/>
          </w:rPr>
          <w:t>https://lujan365.com.ar/contenido/913/bodega-costa-flores-lanza-su-criptomoneda-para-vender-sus-vinos</w:t>
        </w:r>
      </w:hyperlink>
      <w:r>
        <w:rPr>
          <w:rFonts w:ascii="Calibri" w:eastAsia="Calibri" w:hAnsi="Calibri" w:cs="Calibri"/>
          <w:sz w:val="22"/>
          <w:szCs w:val="22"/>
        </w:rPr>
        <w:t xml:space="preserve"> </w:t>
      </w:r>
    </w:p>
    <w:p w:rsidR="002938F6" w:rsidRDefault="007211A5">
      <w:pPr>
        <w:ind w:firstLine="720"/>
        <w:jc w:val="both"/>
        <w:rPr>
          <w:rFonts w:ascii="Calibri" w:eastAsia="Calibri" w:hAnsi="Calibri" w:cs="Calibri"/>
          <w:sz w:val="22"/>
          <w:szCs w:val="22"/>
          <w:highlight w:val="white"/>
        </w:rPr>
      </w:pPr>
      <w:proofErr w:type="spellStart"/>
      <w:r>
        <w:rPr>
          <w:rFonts w:ascii="Calibri" w:eastAsia="Calibri" w:hAnsi="Calibri" w:cs="Calibri"/>
          <w:sz w:val="22"/>
          <w:szCs w:val="22"/>
          <w:highlight w:val="white"/>
        </w:rPr>
        <w:t>Lúquez</w:t>
      </w:r>
      <w:proofErr w:type="spellEnd"/>
      <w:r>
        <w:rPr>
          <w:rFonts w:ascii="Calibri" w:eastAsia="Calibri" w:hAnsi="Calibri" w:cs="Calibri"/>
          <w:sz w:val="22"/>
          <w:szCs w:val="22"/>
          <w:highlight w:val="white"/>
        </w:rPr>
        <w:t xml:space="preserve"> Marín, W. J., &amp; Domínguez Pérez, G. (2018). Implicaciones contables del </w:t>
      </w:r>
      <w:proofErr w:type="spellStart"/>
      <w:r>
        <w:rPr>
          <w:rFonts w:ascii="Calibri" w:eastAsia="Calibri" w:hAnsi="Calibri" w:cs="Calibri"/>
          <w:sz w:val="22"/>
          <w:szCs w:val="22"/>
          <w:highlight w:val="white"/>
        </w:rPr>
        <w:t>bitcoin</w:t>
      </w:r>
      <w:proofErr w:type="spellEnd"/>
      <w:r>
        <w:rPr>
          <w:rFonts w:ascii="Calibri" w:eastAsia="Calibri" w:hAnsi="Calibri" w:cs="Calibri"/>
          <w:sz w:val="22"/>
          <w:szCs w:val="22"/>
          <w:highlight w:val="white"/>
        </w:rPr>
        <w:t xml:space="preserve"> y otras </w:t>
      </w:r>
      <w:proofErr w:type="spellStart"/>
      <w:r>
        <w:rPr>
          <w:rFonts w:ascii="Calibri" w:eastAsia="Calibri" w:hAnsi="Calibri" w:cs="Calibri"/>
          <w:sz w:val="22"/>
          <w:szCs w:val="22"/>
          <w:highlight w:val="white"/>
        </w:rPr>
        <w:t>criptomonedas</w:t>
      </w:r>
      <w:proofErr w:type="spellEnd"/>
      <w:r>
        <w:rPr>
          <w:rFonts w:ascii="Calibri" w:eastAsia="Calibri" w:hAnsi="Calibri" w:cs="Calibri"/>
          <w:sz w:val="22"/>
          <w:szCs w:val="22"/>
          <w:highlight w:val="white"/>
        </w:rPr>
        <w:t>.</w:t>
      </w:r>
    </w:p>
    <w:p w:rsidR="002938F6" w:rsidRDefault="007211A5">
      <w:pPr>
        <w:ind w:firstLine="720"/>
        <w:jc w:val="both"/>
        <w:rPr>
          <w:rFonts w:ascii="Calibri" w:eastAsia="Calibri" w:hAnsi="Calibri" w:cs="Calibri"/>
          <w:sz w:val="22"/>
          <w:szCs w:val="22"/>
          <w:highlight w:val="white"/>
        </w:rPr>
      </w:pPr>
      <w:r>
        <w:rPr>
          <w:rFonts w:ascii="Calibri" w:eastAsia="Calibri" w:hAnsi="Calibri" w:cs="Calibri"/>
          <w:sz w:val="22"/>
          <w:szCs w:val="22"/>
          <w:highlight w:val="white"/>
        </w:rPr>
        <w:t>Mantilla, Samuel A. (2021) “</w:t>
      </w:r>
      <w:proofErr w:type="spellStart"/>
      <w:r>
        <w:rPr>
          <w:rFonts w:ascii="Calibri" w:eastAsia="Calibri" w:hAnsi="Calibri" w:cs="Calibri"/>
          <w:sz w:val="22"/>
          <w:szCs w:val="22"/>
          <w:highlight w:val="white"/>
        </w:rPr>
        <w:t>Bitcoin</w:t>
      </w:r>
      <w:proofErr w:type="spellEnd"/>
      <w:r>
        <w:rPr>
          <w:rFonts w:ascii="Calibri" w:eastAsia="Calibri" w:hAnsi="Calibri" w:cs="Calibri"/>
          <w:sz w:val="22"/>
          <w:szCs w:val="22"/>
          <w:highlight w:val="white"/>
        </w:rPr>
        <w:t>: El desafío de la información financiera para los inversionistas”. Recuperado el 08/09/2021 de https://www.samuelmantilla.com/post/bitcoin</w:t>
      </w:r>
    </w:p>
    <w:p w:rsidR="002938F6" w:rsidRDefault="007211A5">
      <w:pPr>
        <w:ind w:firstLine="720"/>
        <w:jc w:val="both"/>
        <w:rPr>
          <w:rFonts w:ascii="Calibri" w:eastAsia="Calibri" w:hAnsi="Calibri" w:cs="Calibri"/>
          <w:sz w:val="22"/>
          <w:szCs w:val="22"/>
        </w:rPr>
      </w:pPr>
      <w:r>
        <w:rPr>
          <w:rFonts w:ascii="Calibri" w:eastAsia="Calibri" w:hAnsi="Calibri" w:cs="Calibri"/>
          <w:sz w:val="22"/>
          <w:szCs w:val="22"/>
          <w:highlight w:val="white"/>
        </w:rPr>
        <w:t xml:space="preserve">Mota Sánchez, E., Fraile, V., &amp; </w:t>
      </w:r>
      <w:proofErr w:type="spellStart"/>
      <w:r>
        <w:rPr>
          <w:rFonts w:ascii="Calibri" w:eastAsia="Calibri" w:hAnsi="Calibri" w:cs="Calibri"/>
          <w:sz w:val="22"/>
          <w:szCs w:val="22"/>
          <w:highlight w:val="white"/>
        </w:rPr>
        <w:t>Balbi</w:t>
      </w:r>
      <w:proofErr w:type="spellEnd"/>
      <w:r>
        <w:rPr>
          <w:rFonts w:ascii="Calibri" w:eastAsia="Calibri" w:hAnsi="Calibri" w:cs="Calibri"/>
          <w:sz w:val="22"/>
          <w:szCs w:val="22"/>
          <w:highlight w:val="white"/>
        </w:rPr>
        <w:t xml:space="preserve">, D. D. (2020). </w:t>
      </w:r>
      <w:proofErr w:type="spellStart"/>
      <w:r>
        <w:rPr>
          <w:rFonts w:ascii="Calibri" w:eastAsia="Calibri" w:hAnsi="Calibri" w:cs="Calibri"/>
          <w:sz w:val="22"/>
          <w:szCs w:val="22"/>
          <w:highlight w:val="white"/>
        </w:rPr>
        <w:t>Blockchain</w:t>
      </w:r>
      <w:proofErr w:type="spellEnd"/>
      <w:r>
        <w:rPr>
          <w:rFonts w:ascii="Calibri" w:eastAsia="Calibri" w:hAnsi="Calibri" w:cs="Calibri"/>
          <w:sz w:val="22"/>
          <w:szCs w:val="22"/>
          <w:highlight w:val="white"/>
        </w:rPr>
        <w:t xml:space="preserve">, </w:t>
      </w:r>
      <w:proofErr w:type="spellStart"/>
      <w:r>
        <w:rPr>
          <w:rFonts w:ascii="Calibri" w:eastAsia="Calibri" w:hAnsi="Calibri" w:cs="Calibri"/>
          <w:sz w:val="22"/>
          <w:szCs w:val="22"/>
          <w:highlight w:val="white"/>
        </w:rPr>
        <w:t>criptoactivos</w:t>
      </w:r>
      <w:proofErr w:type="spellEnd"/>
      <w:r>
        <w:rPr>
          <w:rFonts w:ascii="Calibri" w:eastAsia="Calibri" w:hAnsi="Calibri" w:cs="Calibri"/>
          <w:sz w:val="22"/>
          <w:szCs w:val="22"/>
          <w:highlight w:val="white"/>
        </w:rPr>
        <w:t xml:space="preserve"> e inteligencia artificial (BCIA): desafío</w:t>
      </w:r>
      <w:r>
        <w:rPr>
          <w:rFonts w:ascii="Calibri" w:eastAsia="Calibri" w:hAnsi="Calibri" w:cs="Calibri"/>
          <w:sz w:val="22"/>
          <w:szCs w:val="22"/>
        </w:rPr>
        <w:t>s para la contabilidad y la auditoria 4.0. In XVI Simposio Regional de Investigación Contable y XXVI Encuentro Nacional de Investigadores Universitarios del Área Contable (Modalidad virtual, 3 de diciembre de 2020).</w:t>
      </w:r>
    </w:p>
    <w:p w:rsidR="002938F6" w:rsidRDefault="007211A5">
      <w:pPr>
        <w:ind w:firstLine="720"/>
        <w:jc w:val="both"/>
        <w:rPr>
          <w:rFonts w:ascii="Calibri" w:eastAsia="Calibri" w:hAnsi="Calibri" w:cs="Calibri"/>
          <w:sz w:val="22"/>
          <w:szCs w:val="22"/>
          <w:highlight w:val="yellow"/>
        </w:rPr>
      </w:pPr>
      <w:proofErr w:type="spellStart"/>
      <w:r>
        <w:rPr>
          <w:rFonts w:ascii="Calibri" w:eastAsia="Calibri" w:hAnsi="Calibri" w:cs="Calibri"/>
          <w:sz w:val="22"/>
          <w:szCs w:val="22"/>
        </w:rPr>
        <w:t>Nakamoto</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Satoshi</w:t>
      </w:r>
      <w:proofErr w:type="spellEnd"/>
      <w:r>
        <w:rPr>
          <w:rFonts w:ascii="Calibri" w:eastAsia="Calibri" w:hAnsi="Calibri" w:cs="Calibri"/>
          <w:sz w:val="22"/>
          <w:szCs w:val="22"/>
        </w:rPr>
        <w:t xml:space="preserve"> (2008). </w:t>
      </w:r>
      <w:proofErr w:type="spellStart"/>
      <w:r>
        <w:rPr>
          <w:rFonts w:ascii="Calibri" w:eastAsia="Calibri" w:hAnsi="Calibri" w:cs="Calibri"/>
          <w:sz w:val="22"/>
          <w:szCs w:val="22"/>
        </w:rPr>
        <w:t>Bitcoin</w:t>
      </w:r>
      <w:proofErr w:type="spellEnd"/>
      <w:r>
        <w:rPr>
          <w:rFonts w:ascii="Calibri" w:eastAsia="Calibri" w:hAnsi="Calibri" w:cs="Calibri"/>
          <w:sz w:val="22"/>
          <w:szCs w:val="22"/>
        </w:rPr>
        <w:t xml:space="preserve">: un sistema de dinero en efectivo </w:t>
      </w:r>
      <w:proofErr w:type="spellStart"/>
      <w:r>
        <w:rPr>
          <w:rFonts w:ascii="Calibri" w:eastAsia="Calibri" w:hAnsi="Calibri" w:cs="Calibri"/>
          <w:sz w:val="22"/>
          <w:szCs w:val="22"/>
        </w:rPr>
        <w:t>electrónico</w:t>
      </w:r>
      <w:proofErr w:type="spellEnd"/>
      <w:r>
        <w:rPr>
          <w:rFonts w:ascii="Calibri" w:eastAsia="Calibri" w:hAnsi="Calibri" w:cs="Calibri"/>
          <w:sz w:val="22"/>
          <w:szCs w:val="22"/>
        </w:rPr>
        <w:t xml:space="preserve"> peer- </w:t>
      </w:r>
      <w:proofErr w:type="spellStart"/>
      <w:r>
        <w:rPr>
          <w:rFonts w:ascii="Calibri" w:eastAsia="Calibri" w:hAnsi="Calibri" w:cs="Calibri"/>
          <w:sz w:val="22"/>
          <w:szCs w:val="22"/>
        </w:rPr>
        <w:t>to</w:t>
      </w:r>
      <w:proofErr w:type="spellEnd"/>
      <w:r>
        <w:rPr>
          <w:rFonts w:ascii="Calibri" w:eastAsia="Calibri" w:hAnsi="Calibri" w:cs="Calibri"/>
          <w:sz w:val="22"/>
          <w:szCs w:val="22"/>
        </w:rPr>
        <w:t>-peer.</w:t>
      </w:r>
    </w:p>
    <w:p w:rsidR="002938F6" w:rsidRDefault="007211A5">
      <w:pPr>
        <w:ind w:firstLine="720"/>
        <w:jc w:val="both"/>
        <w:rPr>
          <w:rFonts w:ascii="Calibri" w:eastAsia="Calibri" w:hAnsi="Calibri" w:cs="Calibri"/>
          <w:sz w:val="22"/>
          <w:szCs w:val="22"/>
        </w:rPr>
      </w:pPr>
      <w:proofErr w:type="spellStart"/>
      <w:r>
        <w:rPr>
          <w:rFonts w:ascii="Calibri" w:eastAsia="Calibri" w:hAnsi="Calibri" w:cs="Calibri"/>
          <w:sz w:val="22"/>
          <w:szCs w:val="22"/>
        </w:rPr>
        <w:t>Provenzani</w:t>
      </w:r>
      <w:proofErr w:type="spellEnd"/>
      <w:r>
        <w:rPr>
          <w:rFonts w:ascii="Calibri" w:eastAsia="Calibri" w:hAnsi="Calibri" w:cs="Calibri"/>
          <w:sz w:val="22"/>
          <w:szCs w:val="22"/>
        </w:rPr>
        <w:t xml:space="preserve"> Casares, Ariel E. (2020). </w:t>
      </w:r>
      <w:proofErr w:type="spellStart"/>
      <w:r>
        <w:rPr>
          <w:rFonts w:ascii="Calibri" w:eastAsia="Calibri" w:hAnsi="Calibri" w:cs="Calibri"/>
          <w:sz w:val="22"/>
          <w:szCs w:val="22"/>
        </w:rPr>
        <w:t>Bitcoin</w:t>
      </w:r>
      <w:proofErr w:type="spellEnd"/>
      <w:r>
        <w:rPr>
          <w:rFonts w:ascii="Calibri" w:eastAsia="Calibri" w:hAnsi="Calibri" w:cs="Calibri"/>
          <w:sz w:val="22"/>
          <w:szCs w:val="22"/>
        </w:rPr>
        <w:t>, sentencias y ejecución de sentencias</w:t>
      </w:r>
    </w:p>
    <w:p w:rsidR="002938F6" w:rsidRDefault="007211A5">
      <w:pPr>
        <w:ind w:firstLine="720"/>
        <w:jc w:val="both"/>
        <w:rPr>
          <w:rFonts w:ascii="Calibri" w:eastAsia="Calibri" w:hAnsi="Calibri" w:cs="Calibri"/>
          <w:sz w:val="22"/>
          <w:szCs w:val="22"/>
        </w:rPr>
      </w:pPr>
      <w:proofErr w:type="spellStart"/>
      <w:r>
        <w:rPr>
          <w:rFonts w:ascii="Calibri" w:eastAsia="Calibri" w:hAnsi="Calibri" w:cs="Calibri"/>
          <w:sz w:val="22"/>
          <w:szCs w:val="22"/>
        </w:rPr>
        <w:t>Pucich</w:t>
      </w:r>
      <w:proofErr w:type="spellEnd"/>
      <w:r>
        <w:rPr>
          <w:rFonts w:ascii="Calibri" w:eastAsia="Calibri" w:hAnsi="Calibri" w:cs="Calibri"/>
          <w:sz w:val="22"/>
          <w:szCs w:val="22"/>
        </w:rPr>
        <w:t xml:space="preserve">, M. V. (2016). </w:t>
      </w:r>
      <w:proofErr w:type="spellStart"/>
      <w:r>
        <w:rPr>
          <w:rFonts w:ascii="Calibri" w:eastAsia="Calibri" w:hAnsi="Calibri" w:cs="Calibri"/>
          <w:sz w:val="22"/>
          <w:szCs w:val="22"/>
        </w:rPr>
        <w:t>Bitcoin</w:t>
      </w:r>
      <w:proofErr w:type="spellEnd"/>
      <w:r>
        <w:rPr>
          <w:rFonts w:ascii="Calibri" w:eastAsia="Calibri" w:hAnsi="Calibri" w:cs="Calibri"/>
          <w:sz w:val="22"/>
          <w:szCs w:val="22"/>
        </w:rPr>
        <w:t>: Tratamiento contable e impositivo para sociedades en Argentina.</w:t>
      </w:r>
    </w:p>
    <w:p w:rsidR="002938F6" w:rsidRDefault="007211A5">
      <w:pPr>
        <w:ind w:firstLine="720"/>
        <w:jc w:val="both"/>
        <w:rPr>
          <w:rFonts w:ascii="Calibri" w:eastAsia="Calibri" w:hAnsi="Calibri" w:cs="Calibri"/>
          <w:sz w:val="22"/>
          <w:szCs w:val="22"/>
        </w:rPr>
      </w:pPr>
      <w:r>
        <w:rPr>
          <w:rFonts w:ascii="Calibri" w:eastAsia="Calibri" w:hAnsi="Calibri" w:cs="Calibri"/>
          <w:sz w:val="22"/>
          <w:szCs w:val="22"/>
        </w:rPr>
        <w:t xml:space="preserve">Quejido, V. R. (2019). </w:t>
      </w:r>
      <w:proofErr w:type="spellStart"/>
      <w:r>
        <w:rPr>
          <w:rFonts w:ascii="Calibri" w:eastAsia="Calibri" w:hAnsi="Calibri" w:cs="Calibri"/>
          <w:sz w:val="22"/>
          <w:szCs w:val="22"/>
        </w:rPr>
        <w:t>Criptoactivos</w:t>
      </w:r>
      <w:proofErr w:type="spellEnd"/>
      <w:r>
        <w:rPr>
          <w:rFonts w:ascii="Calibri" w:eastAsia="Calibri" w:hAnsi="Calibri" w:cs="Calibri"/>
          <w:sz w:val="22"/>
          <w:szCs w:val="22"/>
        </w:rPr>
        <w:t xml:space="preserve">: Naturaleza, regulación y perspectivas. Fundación Caixa </w:t>
      </w:r>
      <w:proofErr w:type="spellStart"/>
      <w:r>
        <w:rPr>
          <w:rFonts w:ascii="Calibri" w:eastAsia="Calibri" w:hAnsi="Calibri" w:cs="Calibri"/>
          <w:sz w:val="22"/>
          <w:szCs w:val="22"/>
        </w:rPr>
        <w:t>d’Enginyers</w:t>
      </w:r>
      <w:proofErr w:type="spellEnd"/>
      <w:r>
        <w:rPr>
          <w:rFonts w:ascii="Calibri" w:eastAsia="Calibri" w:hAnsi="Calibri" w:cs="Calibri"/>
          <w:sz w:val="22"/>
          <w:szCs w:val="22"/>
        </w:rPr>
        <w:t>, 29, 1-20.</w:t>
      </w:r>
    </w:p>
    <w:p w:rsidR="002938F6" w:rsidRDefault="007211A5">
      <w:pPr>
        <w:ind w:firstLine="720"/>
        <w:jc w:val="both"/>
        <w:rPr>
          <w:rFonts w:ascii="Calibri" w:eastAsia="Calibri" w:hAnsi="Calibri" w:cs="Calibri"/>
          <w:sz w:val="22"/>
          <w:szCs w:val="22"/>
        </w:rPr>
      </w:pPr>
      <w:r>
        <w:rPr>
          <w:rFonts w:ascii="Calibri" w:eastAsia="Calibri" w:hAnsi="Calibri" w:cs="Calibri"/>
          <w:sz w:val="22"/>
          <w:szCs w:val="22"/>
        </w:rPr>
        <w:t>Resolución Técnica N° 17 - Federación Argentina de Consejos Profesionales de Ciencias Económicas (FACPCE)</w:t>
      </w:r>
    </w:p>
    <w:p w:rsidR="002938F6" w:rsidRDefault="007211A5">
      <w:pPr>
        <w:ind w:firstLine="720"/>
        <w:jc w:val="both"/>
        <w:rPr>
          <w:rFonts w:ascii="Calibri" w:eastAsia="Calibri" w:hAnsi="Calibri" w:cs="Calibri"/>
          <w:sz w:val="22"/>
          <w:szCs w:val="22"/>
        </w:rPr>
      </w:pPr>
      <w:r>
        <w:rPr>
          <w:rFonts w:ascii="Calibri" w:eastAsia="Calibri" w:hAnsi="Calibri" w:cs="Calibri"/>
          <w:sz w:val="22"/>
          <w:szCs w:val="22"/>
        </w:rPr>
        <w:t>Resolución Técnica N° 41 - Federación Argentina de Consejos Profesionales de Ciencias Económicas (FACPCE)</w:t>
      </w:r>
    </w:p>
    <w:p w:rsidR="002938F6" w:rsidRDefault="007211A5">
      <w:pPr>
        <w:ind w:firstLine="720"/>
        <w:jc w:val="both"/>
        <w:rPr>
          <w:rFonts w:ascii="Calibri" w:eastAsia="Calibri" w:hAnsi="Calibri" w:cs="Calibri"/>
          <w:sz w:val="22"/>
          <w:szCs w:val="22"/>
        </w:rPr>
      </w:pPr>
      <w:r>
        <w:rPr>
          <w:rFonts w:ascii="Calibri" w:eastAsia="Calibri" w:hAnsi="Calibri" w:cs="Calibri"/>
          <w:sz w:val="22"/>
          <w:szCs w:val="22"/>
        </w:rPr>
        <w:t xml:space="preserve">Roca, S. J. (2020). Tecnología como bien común: implementación de </w:t>
      </w:r>
      <w:proofErr w:type="spellStart"/>
      <w:r>
        <w:rPr>
          <w:rFonts w:ascii="Calibri" w:eastAsia="Calibri" w:hAnsi="Calibri" w:cs="Calibri"/>
          <w:sz w:val="22"/>
          <w:szCs w:val="22"/>
        </w:rPr>
        <w:t>Blockchain</w:t>
      </w:r>
      <w:proofErr w:type="spellEnd"/>
      <w:r>
        <w:rPr>
          <w:rFonts w:ascii="Calibri" w:eastAsia="Calibri" w:hAnsi="Calibri" w:cs="Calibri"/>
          <w:sz w:val="22"/>
          <w:szCs w:val="22"/>
        </w:rPr>
        <w:t xml:space="preserve"> en la educación y la investigación. Hipertextos, 8.</w:t>
      </w:r>
    </w:p>
    <w:p w:rsidR="002938F6" w:rsidRDefault="007211A5">
      <w:pPr>
        <w:ind w:firstLine="720"/>
        <w:jc w:val="both"/>
        <w:rPr>
          <w:rFonts w:ascii="Calibri" w:eastAsia="Calibri" w:hAnsi="Calibri" w:cs="Calibri"/>
          <w:sz w:val="22"/>
          <w:szCs w:val="22"/>
        </w:rPr>
      </w:pPr>
      <w:proofErr w:type="spellStart"/>
      <w:r>
        <w:rPr>
          <w:rFonts w:ascii="Calibri" w:eastAsia="Calibri" w:hAnsi="Calibri" w:cs="Calibri"/>
          <w:sz w:val="22"/>
          <w:szCs w:val="22"/>
        </w:rPr>
        <w:t>Torchelli</w:t>
      </w:r>
      <w:proofErr w:type="spellEnd"/>
      <w:r>
        <w:rPr>
          <w:rFonts w:ascii="Calibri" w:eastAsia="Calibri" w:hAnsi="Calibri" w:cs="Calibri"/>
          <w:sz w:val="22"/>
          <w:szCs w:val="22"/>
        </w:rPr>
        <w:t xml:space="preserve">, V. y </w:t>
      </w:r>
      <w:proofErr w:type="spellStart"/>
      <w:r>
        <w:rPr>
          <w:rFonts w:ascii="Calibri" w:eastAsia="Calibri" w:hAnsi="Calibri" w:cs="Calibri"/>
          <w:sz w:val="22"/>
          <w:szCs w:val="22"/>
        </w:rPr>
        <w:t>Símaro</w:t>
      </w:r>
      <w:proofErr w:type="spellEnd"/>
      <w:r>
        <w:rPr>
          <w:rFonts w:ascii="Calibri" w:eastAsia="Calibri" w:hAnsi="Calibri" w:cs="Calibri"/>
          <w:sz w:val="22"/>
          <w:szCs w:val="22"/>
        </w:rPr>
        <w:t xml:space="preserve">, G. (2020).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medición y exposición en el sistema de información contable. </w:t>
      </w:r>
      <w:proofErr w:type="spellStart"/>
      <w:r>
        <w:rPr>
          <w:rFonts w:ascii="Calibri" w:eastAsia="Calibri" w:hAnsi="Calibri" w:cs="Calibri"/>
          <w:sz w:val="22"/>
          <w:szCs w:val="22"/>
        </w:rPr>
        <w:t>Errepar</w:t>
      </w:r>
      <w:proofErr w:type="spellEnd"/>
      <w:r>
        <w:rPr>
          <w:rFonts w:ascii="Calibri" w:eastAsia="Calibri" w:hAnsi="Calibri" w:cs="Calibri"/>
          <w:sz w:val="22"/>
          <w:szCs w:val="22"/>
        </w:rPr>
        <w:t xml:space="preserve"> (D&amp;G). 2020</w:t>
      </w:r>
    </w:p>
    <w:p w:rsidR="002938F6" w:rsidRDefault="007211A5">
      <w:pPr>
        <w:ind w:firstLine="720"/>
        <w:jc w:val="both"/>
        <w:rPr>
          <w:rFonts w:ascii="Calibri" w:eastAsia="Calibri" w:hAnsi="Calibri" w:cs="Calibri"/>
          <w:sz w:val="22"/>
          <w:szCs w:val="22"/>
          <w:highlight w:val="white"/>
        </w:rPr>
      </w:pPr>
      <w:proofErr w:type="spellStart"/>
      <w:r>
        <w:rPr>
          <w:rFonts w:ascii="Calibri" w:eastAsia="Calibri" w:hAnsi="Calibri" w:cs="Calibri"/>
          <w:sz w:val="22"/>
          <w:szCs w:val="22"/>
          <w:highlight w:val="white"/>
        </w:rPr>
        <w:t>Vadell</w:t>
      </w:r>
      <w:proofErr w:type="spellEnd"/>
      <w:r>
        <w:rPr>
          <w:rFonts w:ascii="Calibri" w:eastAsia="Calibri" w:hAnsi="Calibri" w:cs="Calibri"/>
          <w:sz w:val="22"/>
          <w:szCs w:val="22"/>
          <w:highlight w:val="white"/>
        </w:rPr>
        <w:t xml:space="preserve">, G. (2020). Fiscalidad de las </w:t>
      </w:r>
      <w:proofErr w:type="spellStart"/>
      <w:r>
        <w:rPr>
          <w:rFonts w:ascii="Calibri" w:eastAsia="Calibri" w:hAnsi="Calibri" w:cs="Calibri"/>
          <w:sz w:val="22"/>
          <w:szCs w:val="22"/>
          <w:highlight w:val="white"/>
        </w:rPr>
        <w:t>criptomonedas</w:t>
      </w:r>
      <w:proofErr w:type="spellEnd"/>
      <w:r>
        <w:rPr>
          <w:rFonts w:ascii="Calibri" w:eastAsia="Calibri" w:hAnsi="Calibri" w:cs="Calibri"/>
          <w:sz w:val="22"/>
          <w:szCs w:val="22"/>
          <w:highlight w:val="white"/>
        </w:rPr>
        <w:t xml:space="preserve"> y de la economía digital</w:t>
      </w:r>
    </w:p>
    <w:p w:rsidR="002938F6" w:rsidRDefault="007211A5">
      <w:pPr>
        <w:ind w:firstLine="720"/>
        <w:jc w:val="both"/>
        <w:rPr>
          <w:rFonts w:ascii="Calibri" w:eastAsia="Calibri" w:hAnsi="Calibri" w:cs="Calibri"/>
          <w:sz w:val="22"/>
          <w:szCs w:val="22"/>
        </w:rPr>
      </w:pPr>
      <w:proofErr w:type="spellStart"/>
      <w:r>
        <w:rPr>
          <w:rFonts w:ascii="Calibri" w:eastAsia="Calibri" w:hAnsi="Calibri" w:cs="Calibri"/>
          <w:sz w:val="22"/>
          <w:szCs w:val="22"/>
        </w:rPr>
        <w:t>Zocaro</w:t>
      </w:r>
      <w:proofErr w:type="spellEnd"/>
      <w:r>
        <w:rPr>
          <w:rFonts w:ascii="Calibri" w:eastAsia="Calibri" w:hAnsi="Calibri" w:cs="Calibri"/>
          <w:sz w:val="22"/>
          <w:szCs w:val="22"/>
        </w:rPr>
        <w:t xml:space="preserve">, M. (2020). Una aproximación al tratamiento contable de las </w:t>
      </w:r>
      <w:proofErr w:type="spellStart"/>
      <w:r>
        <w:rPr>
          <w:rFonts w:ascii="Calibri" w:eastAsia="Calibri" w:hAnsi="Calibri" w:cs="Calibri"/>
          <w:sz w:val="22"/>
          <w:szCs w:val="22"/>
        </w:rPr>
        <w:t>criptomonedas</w:t>
      </w:r>
      <w:proofErr w:type="spellEnd"/>
      <w:r>
        <w:rPr>
          <w:rFonts w:ascii="Calibri" w:eastAsia="Calibri" w:hAnsi="Calibri" w:cs="Calibri"/>
          <w:sz w:val="22"/>
          <w:szCs w:val="22"/>
        </w:rPr>
        <w:t xml:space="preserve"> en Argentina. In XVI Simposio Regional de Investigación Contable y XXVI Encuentro Nacional de Investigadores Universitarios del Área Contable (Modalidad virtual, 3 de diciembre de 2020).</w:t>
      </w:r>
    </w:p>
    <w:p w:rsidR="002938F6" w:rsidRDefault="002938F6">
      <w:pPr>
        <w:ind w:firstLine="720"/>
        <w:rPr>
          <w:rFonts w:ascii="Calibri" w:eastAsia="Calibri" w:hAnsi="Calibri" w:cs="Calibri"/>
          <w:sz w:val="22"/>
          <w:szCs w:val="22"/>
        </w:rPr>
      </w:pPr>
    </w:p>
    <w:p w:rsidR="002938F6" w:rsidRDefault="002938F6">
      <w:pPr>
        <w:ind w:firstLine="720"/>
        <w:rPr>
          <w:rFonts w:ascii="Calibri" w:eastAsia="Calibri" w:hAnsi="Calibri" w:cs="Calibri"/>
          <w:sz w:val="22"/>
          <w:szCs w:val="22"/>
        </w:rPr>
      </w:pPr>
    </w:p>
    <w:sectPr w:rsidR="002938F6" w:rsidSect="00012452">
      <w:headerReference w:type="default" r:id="rId14"/>
      <w:footerReference w:type="default" r:id="rId15"/>
      <w:footerReference w:type="first" r:id="rId16"/>
      <w:pgSz w:w="11900" w:h="16840"/>
      <w:pgMar w:top="1418" w:right="1418" w:bottom="1418" w:left="1418" w:header="709" w:footer="709"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D3" w:rsidRDefault="007E68D3">
      <w:r>
        <w:separator/>
      </w:r>
    </w:p>
  </w:endnote>
  <w:endnote w:type="continuationSeparator" w:id="0">
    <w:p w:rsidR="007E68D3" w:rsidRDefault="007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F6" w:rsidRDefault="002938F6">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F6" w:rsidRDefault="002938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D3" w:rsidRDefault="007E68D3">
      <w:r>
        <w:separator/>
      </w:r>
    </w:p>
  </w:footnote>
  <w:footnote w:type="continuationSeparator" w:id="0">
    <w:p w:rsidR="007E68D3" w:rsidRDefault="007E68D3">
      <w:r>
        <w:continuationSeparator/>
      </w:r>
    </w:p>
  </w:footnote>
  <w:footnote w:id="1">
    <w:p w:rsidR="002938F6" w:rsidRDefault="007211A5">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ICO (</w:t>
      </w:r>
      <w:proofErr w:type="spellStart"/>
      <w:r>
        <w:rPr>
          <w:rFonts w:ascii="Arial" w:eastAsia="Arial" w:hAnsi="Arial" w:cs="Arial"/>
          <w:color w:val="000000"/>
          <w:sz w:val="18"/>
          <w:szCs w:val="18"/>
        </w:rPr>
        <w:t>Initial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Coin</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Offering</w:t>
      </w:r>
      <w:proofErr w:type="spellEnd"/>
      <w:r>
        <w:rPr>
          <w:rFonts w:ascii="Arial" w:eastAsia="Arial" w:hAnsi="Arial" w:cs="Arial"/>
          <w:color w:val="000000"/>
          <w:sz w:val="18"/>
          <w:szCs w:val="18"/>
        </w:rPr>
        <w:t>):  La compañía crea su propia moneda virtual, y emite monedas o fichas recién creadas por medio de una oferta inicial de moneda [</w:t>
      </w:r>
      <w:proofErr w:type="spellStart"/>
      <w:r>
        <w:rPr>
          <w:rFonts w:ascii="Arial" w:eastAsia="Arial" w:hAnsi="Arial" w:cs="Arial"/>
          <w:color w:val="000000"/>
          <w:sz w:val="18"/>
          <w:szCs w:val="18"/>
        </w:rPr>
        <w:t>Initial</w:t>
      </w:r>
      <w:proofErr w:type="spellEnd"/>
      <w:r>
        <w:rPr>
          <w:rFonts w:ascii="Arial" w:eastAsia="Arial" w:hAnsi="Arial" w:cs="Arial"/>
          <w:color w:val="000000"/>
          <w:sz w:val="18"/>
          <w:szCs w:val="18"/>
        </w:rPr>
        <w:t> </w:t>
      </w:r>
      <w:proofErr w:type="spellStart"/>
      <w:r>
        <w:rPr>
          <w:rFonts w:ascii="Arial" w:eastAsia="Arial" w:hAnsi="Arial" w:cs="Arial"/>
          <w:color w:val="000000"/>
          <w:sz w:val="18"/>
          <w:szCs w:val="18"/>
        </w:rPr>
        <w:t>Coin</w:t>
      </w:r>
      <w:proofErr w:type="spellEnd"/>
      <w:r>
        <w:rPr>
          <w:rFonts w:ascii="Arial" w:eastAsia="Arial" w:hAnsi="Arial" w:cs="Arial"/>
          <w:color w:val="000000"/>
          <w:sz w:val="18"/>
          <w:szCs w:val="18"/>
        </w:rPr>
        <w:t> </w:t>
      </w:r>
      <w:proofErr w:type="spellStart"/>
      <w:r>
        <w:rPr>
          <w:rFonts w:ascii="Arial" w:eastAsia="Arial" w:hAnsi="Arial" w:cs="Arial"/>
          <w:color w:val="000000"/>
          <w:sz w:val="18"/>
          <w:szCs w:val="18"/>
        </w:rPr>
        <w:t>Offering</w:t>
      </w:r>
      <w:proofErr w:type="spellEnd"/>
      <w:r>
        <w:rPr>
          <w:rFonts w:ascii="Arial" w:eastAsia="Arial" w:hAnsi="Arial" w:cs="Arial"/>
          <w:color w:val="000000"/>
          <w:sz w:val="18"/>
          <w:szCs w:val="18"/>
        </w:rPr>
        <w:t> (‘ICO’)]. (</w:t>
      </w:r>
      <w:proofErr w:type="spellStart"/>
      <w:r>
        <w:rPr>
          <w:rFonts w:ascii="Arial" w:eastAsia="Arial" w:hAnsi="Arial" w:cs="Arial"/>
          <w:color w:val="000000"/>
          <w:sz w:val="18"/>
          <w:szCs w:val="18"/>
        </w:rPr>
        <w:t>Deloitte</w:t>
      </w:r>
      <w:proofErr w:type="spellEnd"/>
      <w:r>
        <w:rPr>
          <w:rFonts w:ascii="Arial" w:eastAsia="Arial" w:hAnsi="Arial" w:cs="Arial"/>
          <w:color w:val="000000"/>
          <w:sz w:val="18"/>
          <w:szCs w:val="18"/>
        </w:rPr>
        <w:t>, 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F6" w:rsidRDefault="002938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40D8"/>
    <w:multiLevelType w:val="multilevel"/>
    <w:tmpl w:val="BBA4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2F769D"/>
    <w:multiLevelType w:val="multilevel"/>
    <w:tmpl w:val="4FF03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4D41F44"/>
    <w:multiLevelType w:val="multilevel"/>
    <w:tmpl w:val="31F86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B336F23"/>
    <w:multiLevelType w:val="multilevel"/>
    <w:tmpl w:val="AB1AA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3C9299B"/>
    <w:multiLevelType w:val="multilevel"/>
    <w:tmpl w:val="95182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3FF204E"/>
    <w:multiLevelType w:val="multilevel"/>
    <w:tmpl w:val="12D24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45E2596"/>
    <w:multiLevelType w:val="multilevel"/>
    <w:tmpl w:val="40F0A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55D63E8"/>
    <w:multiLevelType w:val="multilevel"/>
    <w:tmpl w:val="046E4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E431773"/>
    <w:multiLevelType w:val="multilevel"/>
    <w:tmpl w:val="78EC8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8"/>
  </w:num>
  <w:num w:numId="5">
    <w:abstractNumId w:val="1"/>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938F6"/>
    <w:rsid w:val="00012452"/>
    <w:rsid w:val="002938F6"/>
    <w:rsid w:val="007211A5"/>
    <w:rsid w:val="007E68D3"/>
    <w:rsid w:val="00907F0A"/>
    <w:rsid w:val="00D248E9"/>
    <w:rsid w:val="00E70983"/>
    <w:rsid w:val="00EF5CE3"/>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5258AB"/>
    <w:rPr>
      <w:rFonts w:ascii="Times New Roman" w:hAnsi="Times New Roman" w:cs="Times New Roman"/>
    </w:rPr>
  </w:style>
  <w:style w:type="paragraph" w:styleId="Prrafodelista">
    <w:name w:val="List Paragraph"/>
    <w:basedOn w:val="Normal"/>
    <w:uiPriority w:val="34"/>
    <w:qFormat/>
    <w:rsid w:val="007006FC"/>
    <w:pPr>
      <w:ind w:left="720"/>
      <w:contextualSpacing/>
    </w:pPr>
  </w:style>
  <w:style w:type="paragraph" w:styleId="Textonotapie">
    <w:name w:val="footnote text"/>
    <w:basedOn w:val="Normal"/>
    <w:link w:val="TextonotapieCar"/>
    <w:uiPriority w:val="99"/>
    <w:semiHidden/>
    <w:unhideWhenUsed/>
    <w:rsid w:val="0044702C"/>
    <w:rPr>
      <w:sz w:val="20"/>
      <w:szCs w:val="20"/>
    </w:rPr>
  </w:style>
  <w:style w:type="character" w:customStyle="1" w:styleId="TextonotapieCar">
    <w:name w:val="Texto nota pie Car"/>
    <w:basedOn w:val="Fuentedeprrafopredeter"/>
    <w:link w:val="Textonotapie"/>
    <w:uiPriority w:val="99"/>
    <w:semiHidden/>
    <w:rsid w:val="0044702C"/>
    <w:rPr>
      <w:sz w:val="20"/>
      <w:szCs w:val="20"/>
    </w:rPr>
  </w:style>
  <w:style w:type="character" w:styleId="Refdenotaalpie">
    <w:name w:val="footnote reference"/>
    <w:basedOn w:val="Fuentedeprrafopredeter"/>
    <w:uiPriority w:val="99"/>
    <w:semiHidden/>
    <w:unhideWhenUsed/>
    <w:rsid w:val="0044702C"/>
    <w:rPr>
      <w:vertAlign w:val="superscript"/>
    </w:rPr>
  </w:style>
  <w:style w:type="character" w:customStyle="1" w:styleId="normaltextrun">
    <w:name w:val="normaltextrun"/>
    <w:basedOn w:val="Fuentedeprrafopredeter"/>
    <w:rsid w:val="00FE23E5"/>
  </w:style>
  <w:style w:type="character" w:customStyle="1" w:styleId="eop">
    <w:name w:val="eop"/>
    <w:basedOn w:val="Fuentedeprrafopredeter"/>
    <w:rsid w:val="00FE23E5"/>
  </w:style>
  <w:style w:type="paragraph" w:customStyle="1" w:styleId="paragraph">
    <w:name w:val="paragraph"/>
    <w:basedOn w:val="Normal"/>
    <w:rsid w:val="00B4125B"/>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07F0A"/>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F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5258AB"/>
    <w:rPr>
      <w:rFonts w:ascii="Times New Roman" w:hAnsi="Times New Roman" w:cs="Times New Roman"/>
    </w:rPr>
  </w:style>
  <w:style w:type="paragraph" w:styleId="Prrafodelista">
    <w:name w:val="List Paragraph"/>
    <w:basedOn w:val="Normal"/>
    <w:uiPriority w:val="34"/>
    <w:qFormat/>
    <w:rsid w:val="007006FC"/>
    <w:pPr>
      <w:ind w:left="720"/>
      <w:contextualSpacing/>
    </w:pPr>
  </w:style>
  <w:style w:type="paragraph" w:styleId="Textonotapie">
    <w:name w:val="footnote text"/>
    <w:basedOn w:val="Normal"/>
    <w:link w:val="TextonotapieCar"/>
    <w:uiPriority w:val="99"/>
    <w:semiHidden/>
    <w:unhideWhenUsed/>
    <w:rsid w:val="0044702C"/>
    <w:rPr>
      <w:sz w:val="20"/>
      <w:szCs w:val="20"/>
    </w:rPr>
  </w:style>
  <w:style w:type="character" w:customStyle="1" w:styleId="TextonotapieCar">
    <w:name w:val="Texto nota pie Car"/>
    <w:basedOn w:val="Fuentedeprrafopredeter"/>
    <w:link w:val="Textonotapie"/>
    <w:uiPriority w:val="99"/>
    <w:semiHidden/>
    <w:rsid w:val="0044702C"/>
    <w:rPr>
      <w:sz w:val="20"/>
      <w:szCs w:val="20"/>
    </w:rPr>
  </w:style>
  <w:style w:type="character" w:styleId="Refdenotaalpie">
    <w:name w:val="footnote reference"/>
    <w:basedOn w:val="Fuentedeprrafopredeter"/>
    <w:uiPriority w:val="99"/>
    <w:semiHidden/>
    <w:unhideWhenUsed/>
    <w:rsid w:val="0044702C"/>
    <w:rPr>
      <w:vertAlign w:val="superscript"/>
    </w:rPr>
  </w:style>
  <w:style w:type="character" w:customStyle="1" w:styleId="normaltextrun">
    <w:name w:val="normaltextrun"/>
    <w:basedOn w:val="Fuentedeprrafopredeter"/>
    <w:rsid w:val="00FE23E5"/>
  </w:style>
  <w:style w:type="character" w:customStyle="1" w:styleId="eop">
    <w:name w:val="eop"/>
    <w:basedOn w:val="Fuentedeprrafopredeter"/>
    <w:rsid w:val="00FE23E5"/>
  </w:style>
  <w:style w:type="paragraph" w:customStyle="1" w:styleId="paragraph">
    <w:name w:val="paragraph"/>
    <w:basedOn w:val="Normal"/>
    <w:rsid w:val="00B4125B"/>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07F0A"/>
    <w:rPr>
      <w:rFonts w:ascii="Tahoma" w:hAnsi="Tahoma" w:cs="Tahoma"/>
      <w:sz w:val="16"/>
      <w:szCs w:val="16"/>
    </w:rPr>
  </w:style>
  <w:style w:type="character" w:customStyle="1" w:styleId="TextodegloboCar">
    <w:name w:val="Texto de globo Car"/>
    <w:basedOn w:val="Fuentedeprrafopredeter"/>
    <w:link w:val="Textodeglobo"/>
    <w:uiPriority w:val="99"/>
    <w:semiHidden/>
    <w:rsid w:val="00907F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ujan365.com.ar/contenido/913/bodega-costa-flores-lanza-su-criptomoneda-para-vender-sus-vin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bm.com/downloads/cas/YMRKPOJ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staflore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acapitalmdp.com/la-bodega-costaflores-lanzo-una-criptomoneda-basada-en-el-valor-del-vin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t3CRIgQMI4t+hEgZdkJq6u5urQ==">AMUW2mWSp2m+WTmNhv7MLfKOrCWkE7U74buhtIxh6dBXgCL+QqFgJI9FTiJaqNO5k60XKrJW8kqGfWM4TuoH0sz673rd2bmFaZaOsU9FqWnQW57ja49H35o=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6105</Words>
  <Characters>33583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Estudio Martinez Cataldi</dc:creator>
  <cp:lastModifiedBy>Manuel</cp:lastModifiedBy>
  <cp:revision>6</cp:revision>
  <dcterms:created xsi:type="dcterms:W3CDTF">2021-11-14T20:56:00Z</dcterms:created>
  <dcterms:modified xsi:type="dcterms:W3CDTF">2021-11-14T21:09:00Z</dcterms:modified>
</cp:coreProperties>
</file>