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4B71B" w14:textId="77777777" w:rsidR="00EA56BB" w:rsidRDefault="00EA56BB" w:rsidP="00E71A0C">
      <w:pPr>
        <w:spacing w:after="0" w:line="240" w:lineRule="auto"/>
        <w:jc w:val="center"/>
      </w:pPr>
    </w:p>
    <w:p w14:paraId="6B400825" w14:textId="77777777" w:rsidR="00EA56BB" w:rsidRDefault="00EA56BB" w:rsidP="00E71A0C">
      <w:pPr>
        <w:spacing w:after="0" w:line="240" w:lineRule="auto"/>
        <w:jc w:val="center"/>
      </w:pPr>
    </w:p>
    <w:p w14:paraId="5C760222" w14:textId="5C816657" w:rsidR="0014761E" w:rsidRDefault="0014761E" w:rsidP="00E71A0C">
      <w:pPr>
        <w:spacing w:after="0" w:line="240" w:lineRule="auto"/>
        <w:jc w:val="center"/>
      </w:pPr>
      <w:r>
        <w:t xml:space="preserve">UNIVERSIDAD NACIONAL DE LA PLATA </w:t>
      </w:r>
    </w:p>
    <w:p w14:paraId="2AF8D28A" w14:textId="7342B88F" w:rsidR="0014761E" w:rsidRDefault="0014761E" w:rsidP="0014761E">
      <w:pPr>
        <w:spacing w:after="0" w:line="240" w:lineRule="auto"/>
        <w:jc w:val="center"/>
      </w:pPr>
      <w:r>
        <w:t>FACULTAD DE CIENCIAS ECON</w:t>
      </w:r>
      <w:r w:rsidR="00102BC7">
        <w:t>Ó</w:t>
      </w:r>
      <w:r>
        <w:t xml:space="preserve">MICAS </w:t>
      </w:r>
    </w:p>
    <w:p w14:paraId="607E66A1" w14:textId="646E1BF9" w:rsidR="0014761E" w:rsidRPr="0014761E" w:rsidRDefault="0014761E" w:rsidP="0014761E">
      <w:pPr>
        <w:spacing w:after="0" w:line="240" w:lineRule="auto"/>
        <w:jc w:val="center"/>
      </w:pPr>
      <w:r>
        <w:t>INSTITUTO DE INVESTIGACIONES Y ESTUDIOS CONTABLES</w:t>
      </w:r>
    </w:p>
    <w:p w14:paraId="3CC15160" w14:textId="3A03725B" w:rsidR="00E71A0C" w:rsidRPr="004C174D" w:rsidRDefault="0014761E" w:rsidP="00E71A0C">
      <w:pPr>
        <w:spacing w:after="0" w:line="240" w:lineRule="auto"/>
        <w:jc w:val="center"/>
        <w:rPr>
          <w:rFonts w:eastAsia="Times New Roman" w:cstheme="minorHAnsi"/>
          <w:lang w:eastAsia="es-CO"/>
        </w:rPr>
      </w:pPr>
      <w:r w:rsidRPr="004C174D">
        <w:rPr>
          <w:rFonts w:eastAsia="Times New Roman" w:cstheme="minorHAnsi"/>
          <w:lang w:eastAsia="es-CO"/>
        </w:rPr>
        <w:t>17° SIMPOSIO REGIONAL DE INVESTIGACIÓN CONTABLE</w:t>
      </w:r>
    </w:p>
    <w:p w14:paraId="5828D909" w14:textId="77777777" w:rsidR="00E71A0C" w:rsidRPr="004C174D" w:rsidRDefault="00E71A0C" w:rsidP="00E71A0C">
      <w:pPr>
        <w:spacing w:before="100" w:beforeAutospacing="1" w:after="100" w:afterAutospacing="1" w:line="240" w:lineRule="auto"/>
        <w:jc w:val="center"/>
        <w:rPr>
          <w:rFonts w:eastAsia="Times New Roman" w:cstheme="minorHAnsi"/>
          <w:lang w:eastAsia="es-CO"/>
        </w:rPr>
      </w:pPr>
    </w:p>
    <w:p w14:paraId="5068B605" w14:textId="428D6C2C" w:rsidR="00610F5F" w:rsidRPr="004C174D" w:rsidRDefault="00610F5F" w:rsidP="00610F5F">
      <w:pPr>
        <w:spacing w:before="100" w:beforeAutospacing="1" w:after="0" w:line="240" w:lineRule="auto"/>
        <w:jc w:val="center"/>
        <w:rPr>
          <w:rFonts w:eastAsia="Times New Roman" w:cstheme="minorHAnsi"/>
          <w:b/>
          <w:bCs/>
          <w:lang w:eastAsia="es-CO"/>
        </w:rPr>
      </w:pPr>
      <w:r w:rsidRPr="004C174D">
        <w:rPr>
          <w:rFonts w:eastAsia="Times New Roman" w:cstheme="minorHAnsi"/>
          <w:b/>
          <w:bCs/>
          <w:lang w:eastAsia="es-CO"/>
        </w:rPr>
        <w:t>TEMA</w:t>
      </w:r>
    </w:p>
    <w:p w14:paraId="58431D68" w14:textId="43A5F304" w:rsidR="00E71A0C" w:rsidRPr="004C174D" w:rsidRDefault="00E71A0C" w:rsidP="00C168DB">
      <w:pPr>
        <w:spacing w:after="100" w:afterAutospacing="1" w:line="240" w:lineRule="auto"/>
        <w:jc w:val="center"/>
        <w:rPr>
          <w:rFonts w:eastAsia="Times New Roman" w:cstheme="minorHAnsi"/>
          <w:lang w:eastAsia="es-CO"/>
        </w:rPr>
      </w:pPr>
      <w:r w:rsidRPr="004C174D">
        <w:rPr>
          <w:rFonts w:eastAsia="Times New Roman" w:cstheme="minorHAnsi"/>
          <w:lang w:eastAsia="es-CO"/>
        </w:rPr>
        <w:t>TEORÍA CRÍTICA Y EPISTEMOLOGÍA CONTABLE</w:t>
      </w:r>
    </w:p>
    <w:p w14:paraId="1C532480" w14:textId="3CAC0BEE" w:rsidR="00E71A0C" w:rsidRPr="004C174D" w:rsidRDefault="00E71A0C" w:rsidP="00E71A0C">
      <w:pPr>
        <w:spacing w:before="100" w:beforeAutospacing="1" w:after="100" w:afterAutospacing="1" w:line="240" w:lineRule="auto"/>
        <w:jc w:val="center"/>
        <w:rPr>
          <w:rFonts w:eastAsia="Times New Roman" w:cstheme="minorHAnsi"/>
          <w:lang w:eastAsia="es-CO"/>
        </w:rPr>
      </w:pPr>
    </w:p>
    <w:p w14:paraId="2F52839A" w14:textId="0B8F7221" w:rsidR="00E71A0C" w:rsidRPr="004C174D" w:rsidRDefault="00E71A0C" w:rsidP="00E71A0C">
      <w:pPr>
        <w:spacing w:before="100" w:beforeAutospacing="1" w:after="100" w:afterAutospacing="1" w:line="240" w:lineRule="auto"/>
        <w:jc w:val="center"/>
        <w:rPr>
          <w:rFonts w:eastAsia="Times New Roman" w:cstheme="minorHAnsi"/>
          <w:lang w:eastAsia="es-CO"/>
        </w:rPr>
      </w:pPr>
    </w:p>
    <w:p w14:paraId="191A24E5" w14:textId="77777777" w:rsidR="00E71A0C" w:rsidRPr="004C174D" w:rsidRDefault="00E71A0C" w:rsidP="00E71A0C">
      <w:pPr>
        <w:spacing w:before="100" w:beforeAutospacing="1" w:after="100" w:afterAutospacing="1" w:line="240" w:lineRule="auto"/>
        <w:jc w:val="center"/>
        <w:rPr>
          <w:rFonts w:eastAsia="Times New Roman" w:cstheme="minorHAnsi"/>
          <w:lang w:eastAsia="es-CO"/>
        </w:rPr>
      </w:pPr>
    </w:p>
    <w:p w14:paraId="1EBF625B" w14:textId="7393D02E" w:rsidR="00DD70D5" w:rsidRPr="004C174D" w:rsidRDefault="68675208" w:rsidP="68675208">
      <w:pPr>
        <w:spacing w:after="0" w:line="240" w:lineRule="auto"/>
        <w:jc w:val="center"/>
        <w:rPr>
          <w:rFonts w:eastAsia="Times New Roman"/>
          <w:b/>
          <w:bCs/>
          <w:sz w:val="24"/>
          <w:szCs w:val="24"/>
          <w:lang w:eastAsia="es-CO"/>
        </w:rPr>
      </w:pPr>
      <w:r w:rsidRPr="68675208">
        <w:rPr>
          <w:rFonts w:eastAsia="Times New Roman"/>
          <w:b/>
          <w:bCs/>
          <w:color w:val="000000" w:themeColor="text1"/>
          <w:sz w:val="36"/>
          <w:szCs w:val="36"/>
          <w:lang w:eastAsia="es-CO"/>
        </w:rPr>
        <w:t>INFLUENCIA DE MICHEL FOUCAULT EN LA INVESTIGACIÓN CONTABLE ALTERNATIVA: UN</w:t>
      </w:r>
      <w:r w:rsidR="00791C41">
        <w:rPr>
          <w:rFonts w:eastAsia="Times New Roman"/>
          <w:b/>
          <w:bCs/>
          <w:color w:val="000000" w:themeColor="text1"/>
          <w:sz w:val="36"/>
          <w:szCs w:val="36"/>
          <w:lang w:eastAsia="es-CO"/>
        </w:rPr>
        <w:t xml:space="preserve"> BALANCE </w:t>
      </w:r>
      <w:r w:rsidRPr="68675208">
        <w:rPr>
          <w:rFonts w:eastAsia="Times New Roman"/>
          <w:b/>
          <w:bCs/>
          <w:color w:val="000000" w:themeColor="text1"/>
          <w:sz w:val="36"/>
          <w:szCs w:val="36"/>
          <w:lang w:eastAsia="es-CO"/>
        </w:rPr>
        <w:t>DE REVISIONES DE LITERATURA</w:t>
      </w:r>
    </w:p>
    <w:p w14:paraId="76A02229"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01F623AA"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02E59606"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26319E29"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29F0E70B"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35A2A072"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70070766"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04D765D4"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43BDA1D0"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52AF4E8B"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03A8A349" w14:textId="77777777" w:rsidR="00E71A0C" w:rsidRPr="004C174D" w:rsidRDefault="00E71A0C" w:rsidP="00E71A0C">
      <w:pPr>
        <w:spacing w:after="0" w:line="240" w:lineRule="auto"/>
        <w:jc w:val="center"/>
        <w:rPr>
          <w:rFonts w:eastAsia="Times New Roman" w:cstheme="minorHAnsi"/>
          <w:i/>
          <w:iCs/>
          <w:color w:val="000000"/>
          <w:sz w:val="24"/>
          <w:szCs w:val="24"/>
          <w:lang w:eastAsia="es-CO"/>
        </w:rPr>
      </w:pPr>
    </w:p>
    <w:p w14:paraId="0A519F88" w14:textId="3BF42B2E" w:rsidR="00E71A0C" w:rsidRPr="0014761E" w:rsidRDefault="00E71A0C" w:rsidP="00E71A0C">
      <w:pPr>
        <w:spacing w:after="0" w:line="240" w:lineRule="auto"/>
        <w:jc w:val="center"/>
        <w:rPr>
          <w:rFonts w:eastAsia="Times New Roman" w:cstheme="minorHAnsi"/>
          <w:b/>
          <w:bCs/>
          <w:i/>
          <w:iCs/>
          <w:color w:val="000000"/>
          <w:sz w:val="24"/>
          <w:szCs w:val="24"/>
          <w:lang w:eastAsia="es-CO"/>
        </w:rPr>
      </w:pPr>
      <w:r w:rsidRPr="0014761E">
        <w:rPr>
          <w:rFonts w:eastAsia="Times New Roman" w:cstheme="minorHAnsi"/>
          <w:b/>
          <w:bCs/>
          <w:i/>
          <w:iCs/>
          <w:color w:val="000000"/>
          <w:sz w:val="24"/>
          <w:szCs w:val="24"/>
          <w:lang w:eastAsia="es-CO"/>
        </w:rPr>
        <w:t>AURA CRISTINA QUINTERO CARDONA</w:t>
      </w:r>
    </w:p>
    <w:p w14:paraId="21295828" w14:textId="0E9E0A7A" w:rsidR="0014761E" w:rsidRPr="005345C9" w:rsidRDefault="0099728C" w:rsidP="00E71A0C">
      <w:pPr>
        <w:spacing w:after="0" w:line="240" w:lineRule="auto"/>
        <w:jc w:val="center"/>
        <w:rPr>
          <w:rFonts w:eastAsia="Times New Roman" w:cstheme="minorHAnsi"/>
          <w:lang w:eastAsia="es-CO"/>
        </w:rPr>
      </w:pPr>
      <w:r w:rsidRPr="005345C9">
        <w:rPr>
          <w:rFonts w:eastAsia="Times New Roman" w:cstheme="minorHAnsi"/>
          <w:lang w:eastAsia="es-CO"/>
        </w:rPr>
        <w:t>aura.quintero@correounivall</w:t>
      </w:r>
      <w:r w:rsidR="00A155A9" w:rsidRPr="005345C9">
        <w:rPr>
          <w:rFonts w:eastAsia="Times New Roman" w:cstheme="minorHAnsi"/>
          <w:lang w:eastAsia="es-CO"/>
        </w:rPr>
        <w:t>e</w:t>
      </w:r>
      <w:r w:rsidRPr="005345C9">
        <w:rPr>
          <w:rFonts w:eastAsia="Times New Roman" w:cstheme="minorHAnsi"/>
          <w:lang w:eastAsia="es-CO"/>
        </w:rPr>
        <w:t>.edu.co</w:t>
      </w:r>
    </w:p>
    <w:p w14:paraId="7861DC60" w14:textId="4A27C535" w:rsidR="00E71A0C" w:rsidRPr="0014761E" w:rsidRDefault="00E71A0C" w:rsidP="00E71A0C">
      <w:pPr>
        <w:spacing w:after="0" w:line="240" w:lineRule="auto"/>
        <w:jc w:val="center"/>
        <w:rPr>
          <w:rFonts w:eastAsia="Times New Roman" w:cstheme="minorHAnsi"/>
          <w:b/>
          <w:bCs/>
          <w:i/>
          <w:iCs/>
          <w:color w:val="000000"/>
          <w:sz w:val="24"/>
          <w:szCs w:val="24"/>
          <w:lang w:eastAsia="es-CO"/>
        </w:rPr>
      </w:pPr>
      <w:r w:rsidRPr="0014761E">
        <w:rPr>
          <w:rFonts w:eastAsia="Times New Roman" w:cstheme="minorHAnsi"/>
          <w:b/>
          <w:bCs/>
          <w:i/>
          <w:iCs/>
          <w:color w:val="000000"/>
          <w:sz w:val="24"/>
          <w:szCs w:val="24"/>
          <w:lang w:eastAsia="es-CO"/>
        </w:rPr>
        <w:t>MATEO BEDOYA GARCÍA</w:t>
      </w:r>
    </w:p>
    <w:p w14:paraId="72C55173" w14:textId="29B5084F" w:rsidR="0014761E" w:rsidRPr="0014761E" w:rsidRDefault="0014761E" w:rsidP="0014761E">
      <w:pPr>
        <w:jc w:val="center"/>
        <w:rPr>
          <w:lang w:eastAsia="es-CO"/>
        </w:rPr>
      </w:pPr>
      <w:r w:rsidRPr="0014761E">
        <w:rPr>
          <w:lang w:eastAsia="es-CO"/>
        </w:rPr>
        <w:t>mbedoyag@unal.edu.co</w:t>
      </w:r>
    </w:p>
    <w:p w14:paraId="27DFEB04" w14:textId="778CD094" w:rsidR="00E71A0C" w:rsidRPr="004C174D" w:rsidRDefault="00E71A0C" w:rsidP="00E71A0C">
      <w:pPr>
        <w:spacing w:before="100" w:beforeAutospacing="1" w:after="100" w:afterAutospacing="1" w:line="240" w:lineRule="auto"/>
        <w:jc w:val="center"/>
        <w:rPr>
          <w:rFonts w:eastAsia="Times New Roman" w:cstheme="minorHAnsi"/>
          <w:lang w:eastAsia="es-CO"/>
        </w:rPr>
      </w:pPr>
    </w:p>
    <w:p w14:paraId="60C50E57" w14:textId="02C40B5B" w:rsidR="00E71A0C" w:rsidRPr="004C174D" w:rsidRDefault="00E71A0C" w:rsidP="0014761E">
      <w:pPr>
        <w:spacing w:before="100" w:beforeAutospacing="1" w:after="100" w:afterAutospacing="1" w:line="240" w:lineRule="auto"/>
        <w:rPr>
          <w:rFonts w:eastAsia="Times New Roman" w:cstheme="minorHAnsi"/>
          <w:lang w:eastAsia="es-CO"/>
        </w:rPr>
      </w:pPr>
    </w:p>
    <w:p w14:paraId="0417224B" w14:textId="068B5C69" w:rsidR="00E71A0C" w:rsidRPr="004C174D" w:rsidRDefault="00E71A0C" w:rsidP="00E71A0C">
      <w:pPr>
        <w:spacing w:before="100" w:beforeAutospacing="1" w:after="100" w:afterAutospacing="1" w:line="240" w:lineRule="auto"/>
        <w:jc w:val="center"/>
        <w:rPr>
          <w:rFonts w:eastAsia="Times New Roman" w:cstheme="minorHAnsi"/>
          <w:lang w:eastAsia="es-CO"/>
        </w:rPr>
      </w:pPr>
    </w:p>
    <w:p w14:paraId="54422D6C" w14:textId="77777777" w:rsidR="00610F5F" w:rsidRDefault="00610F5F" w:rsidP="002D6DEA">
      <w:pPr>
        <w:spacing w:before="100" w:beforeAutospacing="1" w:after="100" w:afterAutospacing="1" w:line="240" w:lineRule="auto"/>
        <w:rPr>
          <w:rFonts w:eastAsia="Times New Roman" w:cstheme="minorHAnsi"/>
          <w:lang w:eastAsia="es-CO"/>
        </w:rPr>
      </w:pPr>
    </w:p>
    <w:p w14:paraId="4D829DD5" w14:textId="77777777" w:rsidR="00A155A9" w:rsidRPr="004C174D" w:rsidRDefault="00A155A9" w:rsidP="00E71A0C">
      <w:pPr>
        <w:spacing w:before="100" w:beforeAutospacing="1" w:after="100" w:afterAutospacing="1" w:line="240" w:lineRule="auto"/>
        <w:jc w:val="center"/>
        <w:rPr>
          <w:rFonts w:eastAsia="Times New Roman" w:cstheme="minorHAnsi"/>
          <w:lang w:eastAsia="es-CO"/>
        </w:rPr>
      </w:pPr>
    </w:p>
    <w:p w14:paraId="5E25696A" w14:textId="437AACC0" w:rsidR="00E71A0C" w:rsidRPr="004C174D" w:rsidRDefault="00E71A0C" w:rsidP="00E71A0C">
      <w:pPr>
        <w:spacing w:before="100" w:beforeAutospacing="1" w:after="100" w:afterAutospacing="1" w:line="240" w:lineRule="auto"/>
        <w:jc w:val="center"/>
        <w:rPr>
          <w:rFonts w:eastAsia="Times New Roman" w:cstheme="minorHAnsi"/>
          <w:lang w:eastAsia="es-CO"/>
        </w:rPr>
      </w:pPr>
      <w:r w:rsidRPr="004C174D">
        <w:rPr>
          <w:rFonts w:eastAsia="Times New Roman" w:cstheme="minorHAnsi"/>
          <w:lang w:eastAsia="es-CO"/>
        </w:rPr>
        <w:t>COLOMBIA, 2021</w:t>
      </w:r>
    </w:p>
    <w:bookmarkStart w:id="0" w:name="_Toc26832209" w:displacedByCustomXml="next"/>
    <w:sdt>
      <w:sdtPr>
        <w:rPr>
          <w:rFonts w:asciiTheme="minorHAnsi" w:eastAsiaTheme="minorHAnsi" w:hAnsiTheme="minorHAnsi" w:cstheme="minorBidi"/>
          <w:b/>
          <w:bCs/>
          <w:color w:val="auto"/>
          <w:sz w:val="22"/>
          <w:szCs w:val="22"/>
          <w:lang w:val="es-ES" w:eastAsia="en-US"/>
        </w:rPr>
        <w:id w:val="1238364229"/>
        <w:docPartObj>
          <w:docPartGallery w:val="Table of Contents"/>
          <w:docPartUnique/>
        </w:docPartObj>
      </w:sdtPr>
      <w:sdtEndPr/>
      <w:sdtContent>
        <w:p w14:paraId="0B9C185E" w14:textId="4AFB10D5" w:rsidR="0014761E" w:rsidRPr="0014761E" w:rsidRDefault="35A7D640">
          <w:pPr>
            <w:pStyle w:val="TtuloTDC"/>
            <w:rPr>
              <w:b/>
              <w:bCs/>
              <w:color w:val="auto"/>
            </w:rPr>
          </w:pPr>
          <w:r w:rsidRPr="35A7D640">
            <w:rPr>
              <w:b/>
              <w:bCs/>
              <w:color w:val="auto"/>
              <w:lang w:val="es-ES"/>
            </w:rPr>
            <w:t>Contenido</w:t>
          </w:r>
        </w:p>
        <w:p w14:paraId="69D82A01" w14:textId="1AD1FE0F" w:rsidR="00A979BD" w:rsidRDefault="0014761E">
          <w:pPr>
            <w:pStyle w:val="TDC1"/>
            <w:rPr>
              <w:rFonts w:eastAsiaTheme="minorEastAsia"/>
              <w:noProof/>
              <w:lang w:eastAsia="es-CO"/>
            </w:rPr>
          </w:pPr>
          <w:r>
            <w:fldChar w:fldCharType="begin"/>
          </w:r>
          <w:r>
            <w:instrText xml:space="preserve"> TOC \o "1-3" \h \z \u </w:instrText>
          </w:r>
          <w:r>
            <w:fldChar w:fldCharType="separate"/>
          </w:r>
          <w:hyperlink w:anchor="_Toc87892824" w:history="1">
            <w:r w:rsidR="00A979BD" w:rsidRPr="00B70658">
              <w:rPr>
                <w:rStyle w:val="Hipervnculo"/>
                <w:rFonts w:cstheme="minorHAnsi"/>
                <w:noProof/>
                <w:lang w:eastAsia="es-ES_tradnl"/>
              </w:rPr>
              <w:t>RESUMEN</w:t>
            </w:r>
            <w:r w:rsidR="00A979BD">
              <w:rPr>
                <w:noProof/>
                <w:webHidden/>
              </w:rPr>
              <w:tab/>
            </w:r>
            <w:r w:rsidR="00A979BD">
              <w:rPr>
                <w:noProof/>
                <w:webHidden/>
              </w:rPr>
              <w:fldChar w:fldCharType="begin"/>
            </w:r>
            <w:r w:rsidR="00A979BD">
              <w:rPr>
                <w:noProof/>
                <w:webHidden/>
              </w:rPr>
              <w:instrText xml:space="preserve"> PAGEREF _Toc87892824 \h </w:instrText>
            </w:r>
            <w:r w:rsidR="00A979BD">
              <w:rPr>
                <w:noProof/>
                <w:webHidden/>
              </w:rPr>
            </w:r>
            <w:r w:rsidR="00A979BD">
              <w:rPr>
                <w:noProof/>
                <w:webHidden/>
              </w:rPr>
              <w:fldChar w:fldCharType="separate"/>
            </w:r>
            <w:r w:rsidR="00A979BD">
              <w:rPr>
                <w:noProof/>
                <w:webHidden/>
              </w:rPr>
              <w:t>3</w:t>
            </w:r>
            <w:r w:rsidR="00A979BD">
              <w:rPr>
                <w:noProof/>
                <w:webHidden/>
              </w:rPr>
              <w:fldChar w:fldCharType="end"/>
            </w:r>
          </w:hyperlink>
        </w:p>
        <w:p w14:paraId="24D04700" w14:textId="128EF043" w:rsidR="00A979BD" w:rsidRDefault="00A979BD">
          <w:pPr>
            <w:pStyle w:val="TDC1"/>
            <w:rPr>
              <w:rFonts w:eastAsiaTheme="minorEastAsia"/>
              <w:noProof/>
              <w:lang w:eastAsia="es-CO"/>
            </w:rPr>
          </w:pPr>
          <w:hyperlink w:anchor="_Toc87892825" w:history="1">
            <w:r w:rsidRPr="00B70658">
              <w:rPr>
                <w:rStyle w:val="Hipervnculo"/>
                <w:noProof/>
                <w:lang w:eastAsia="es-ES"/>
              </w:rPr>
              <w:t>PALABRAS CLAVE</w:t>
            </w:r>
            <w:r>
              <w:rPr>
                <w:noProof/>
                <w:webHidden/>
              </w:rPr>
              <w:tab/>
            </w:r>
            <w:r>
              <w:rPr>
                <w:noProof/>
                <w:webHidden/>
              </w:rPr>
              <w:fldChar w:fldCharType="begin"/>
            </w:r>
            <w:r>
              <w:rPr>
                <w:noProof/>
                <w:webHidden/>
              </w:rPr>
              <w:instrText xml:space="preserve"> PAGEREF _Toc87892825 \h </w:instrText>
            </w:r>
            <w:r>
              <w:rPr>
                <w:noProof/>
                <w:webHidden/>
              </w:rPr>
            </w:r>
            <w:r>
              <w:rPr>
                <w:noProof/>
                <w:webHidden/>
              </w:rPr>
              <w:fldChar w:fldCharType="separate"/>
            </w:r>
            <w:r>
              <w:rPr>
                <w:noProof/>
                <w:webHidden/>
              </w:rPr>
              <w:t>3</w:t>
            </w:r>
            <w:r>
              <w:rPr>
                <w:noProof/>
                <w:webHidden/>
              </w:rPr>
              <w:fldChar w:fldCharType="end"/>
            </w:r>
          </w:hyperlink>
        </w:p>
        <w:p w14:paraId="65408E49" w14:textId="3189AA8C" w:rsidR="00A979BD" w:rsidRDefault="00A979BD">
          <w:pPr>
            <w:pStyle w:val="TDC1"/>
            <w:tabs>
              <w:tab w:val="left" w:pos="440"/>
            </w:tabs>
            <w:rPr>
              <w:rFonts w:eastAsiaTheme="minorEastAsia"/>
              <w:noProof/>
              <w:lang w:eastAsia="es-CO"/>
            </w:rPr>
          </w:pPr>
          <w:hyperlink w:anchor="_Toc87892826" w:history="1">
            <w:r w:rsidRPr="00B70658">
              <w:rPr>
                <w:rStyle w:val="Hipervnculo"/>
                <w:rFonts w:cstheme="minorHAnsi"/>
                <w:noProof/>
                <w:lang w:eastAsia="es-ES_tradnl"/>
              </w:rPr>
              <w:t>1.</w:t>
            </w:r>
            <w:r>
              <w:rPr>
                <w:rFonts w:eastAsiaTheme="minorEastAsia"/>
                <w:noProof/>
                <w:lang w:eastAsia="es-CO"/>
              </w:rPr>
              <w:tab/>
            </w:r>
            <w:r w:rsidRPr="00B70658">
              <w:rPr>
                <w:rStyle w:val="Hipervnculo"/>
                <w:rFonts w:cstheme="minorHAnsi"/>
                <w:noProof/>
                <w:lang w:eastAsia="es-ES_tradnl"/>
              </w:rPr>
              <w:t>INTRODUCCIÓN</w:t>
            </w:r>
            <w:r>
              <w:rPr>
                <w:noProof/>
                <w:webHidden/>
              </w:rPr>
              <w:tab/>
            </w:r>
            <w:r>
              <w:rPr>
                <w:noProof/>
                <w:webHidden/>
              </w:rPr>
              <w:fldChar w:fldCharType="begin"/>
            </w:r>
            <w:r>
              <w:rPr>
                <w:noProof/>
                <w:webHidden/>
              </w:rPr>
              <w:instrText xml:space="preserve"> PAGEREF _Toc87892826 \h </w:instrText>
            </w:r>
            <w:r>
              <w:rPr>
                <w:noProof/>
                <w:webHidden/>
              </w:rPr>
            </w:r>
            <w:r>
              <w:rPr>
                <w:noProof/>
                <w:webHidden/>
              </w:rPr>
              <w:fldChar w:fldCharType="separate"/>
            </w:r>
            <w:r>
              <w:rPr>
                <w:noProof/>
                <w:webHidden/>
              </w:rPr>
              <w:t>3</w:t>
            </w:r>
            <w:r>
              <w:rPr>
                <w:noProof/>
                <w:webHidden/>
              </w:rPr>
              <w:fldChar w:fldCharType="end"/>
            </w:r>
          </w:hyperlink>
        </w:p>
        <w:p w14:paraId="789F64B4" w14:textId="4184CD42" w:rsidR="00A979BD" w:rsidRDefault="00A979BD">
          <w:pPr>
            <w:pStyle w:val="TDC1"/>
            <w:tabs>
              <w:tab w:val="left" w:pos="440"/>
            </w:tabs>
            <w:rPr>
              <w:rFonts w:eastAsiaTheme="minorEastAsia"/>
              <w:noProof/>
              <w:lang w:eastAsia="es-CO"/>
            </w:rPr>
          </w:pPr>
          <w:hyperlink w:anchor="_Toc87892827" w:history="1">
            <w:r w:rsidRPr="00B70658">
              <w:rPr>
                <w:rStyle w:val="Hipervnculo"/>
                <w:rFonts w:cstheme="minorHAnsi"/>
                <w:noProof/>
                <w:lang w:eastAsia="es-ES_tradnl"/>
              </w:rPr>
              <w:t>2.</w:t>
            </w:r>
            <w:r>
              <w:rPr>
                <w:rFonts w:eastAsiaTheme="minorEastAsia"/>
                <w:noProof/>
                <w:lang w:eastAsia="es-CO"/>
              </w:rPr>
              <w:tab/>
            </w:r>
            <w:r w:rsidRPr="00B70658">
              <w:rPr>
                <w:rStyle w:val="Hipervnculo"/>
                <w:rFonts w:cstheme="minorHAnsi"/>
                <w:noProof/>
                <w:lang w:eastAsia="es-ES_tradnl"/>
              </w:rPr>
              <w:t>METODOLOGÍA</w:t>
            </w:r>
            <w:r>
              <w:rPr>
                <w:noProof/>
                <w:webHidden/>
              </w:rPr>
              <w:tab/>
            </w:r>
            <w:r>
              <w:rPr>
                <w:noProof/>
                <w:webHidden/>
              </w:rPr>
              <w:fldChar w:fldCharType="begin"/>
            </w:r>
            <w:r>
              <w:rPr>
                <w:noProof/>
                <w:webHidden/>
              </w:rPr>
              <w:instrText xml:space="preserve"> PAGEREF _Toc87892827 \h </w:instrText>
            </w:r>
            <w:r>
              <w:rPr>
                <w:noProof/>
                <w:webHidden/>
              </w:rPr>
            </w:r>
            <w:r>
              <w:rPr>
                <w:noProof/>
                <w:webHidden/>
              </w:rPr>
              <w:fldChar w:fldCharType="separate"/>
            </w:r>
            <w:r>
              <w:rPr>
                <w:noProof/>
                <w:webHidden/>
              </w:rPr>
              <w:t>4</w:t>
            </w:r>
            <w:r>
              <w:rPr>
                <w:noProof/>
                <w:webHidden/>
              </w:rPr>
              <w:fldChar w:fldCharType="end"/>
            </w:r>
          </w:hyperlink>
        </w:p>
        <w:p w14:paraId="15E73399" w14:textId="379182D1" w:rsidR="00A979BD" w:rsidRDefault="00A979BD">
          <w:pPr>
            <w:pStyle w:val="TDC2"/>
            <w:tabs>
              <w:tab w:val="left" w:pos="880"/>
              <w:tab w:val="right" w:leader="dot" w:pos="9060"/>
            </w:tabs>
            <w:rPr>
              <w:rFonts w:eastAsiaTheme="minorEastAsia"/>
              <w:noProof/>
              <w:lang w:eastAsia="es-CO"/>
            </w:rPr>
          </w:pPr>
          <w:hyperlink w:anchor="_Toc87892828" w:history="1">
            <w:r w:rsidRPr="00B70658">
              <w:rPr>
                <w:rStyle w:val="Hipervnculo"/>
                <w:rFonts w:cstheme="minorHAnsi"/>
                <w:b/>
                <w:bCs/>
                <w:i/>
                <w:iCs/>
                <w:noProof/>
              </w:rPr>
              <w:t>2.1.</w:t>
            </w:r>
            <w:r>
              <w:rPr>
                <w:rFonts w:eastAsiaTheme="minorEastAsia"/>
                <w:noProof/>
                <w:lang w:eastAsia="es-CO"/>
              </w:rPr>
              <w:tab/>
            </w:r>
            <w:r w:rsidRPr="00B70658">
              <w:rPr>
                <w:rStyle w:val="Hipervnculo"/>
                <w:rFonts w:cstheme="minorHAnsi"/>
                <w:b/>
                <w:bCs/>
                <w:i/>
                <w:iCs/>
                <w:noProof/>
              </w:rPr>
              <w:t>La pregunta PICOT</w:t>
            </w:r>
            <w:r>
              <w:rPr>
                <w:noProof/>
                <w:webHidden/>
              </w:rPr>
              <w:tab/>
            </w:r>
            <w:r>
              <w:rPr>
                <w:noProof/>
                <w:webHidden/>
              </w:rPr>
              <w:fldChar w:fldCharType="begin"/>
            </w:r>
            <w:r>
              <w:rPr>
                <w:noProof/>
                <w:webHidden/>
              </w:rPr>
              <w:instrText xml:space="preserve"> PAGEREF _Toc87892828 \h </w:instrText>
            </w:r>
            <w:r>
              <w:rPr>
                <w:noProof/>
                <w:webHidden/>
              </w:rPr>
            </w:r>
            <w:r>
              <w:rPr>
                <w:noProof/>
                <w:webHidden/>
              </w:rPr>
              <w:fldChar w:fldCharType="separate"/>
            </w:r>
            <w:r>
              <w:rPr>
                <w:noProof/>
                <w:webHidden/>
              </w:rPr>
              <w:t>6</w:t>
            </w:r>
            <w:r>
              <w:rPr>
                <w:noProof/>
                <w:webHidden/>
              </w:rPr>
              <w:fldChar w:fldCharType="end"/>
            </w:r>
          </w:hyperlink>
        </w:p>
        <w:p w14:paraId="61B31EC4" w14:textId="5FC91AD3" w:rsidR="00A979BD" w:rsidRDefault="00A979BD">
          <w:pPr>
            <w:pStyle w:val="TDC2"/>
            <w:tabs>
              <w:tab w:val="left" w:pos="880"/>
              <w:tab w:val="right" w:leader="dot" w:pos="9060"/>
            </w:tabs>
            <w:rPr>
              <w:rFonts w:eastAsiaTheme="minorEastAsia"/>
              <w:noProof/>
              <w:lang w:eastAsia="es-CO"/>
            </w:rPr>
          </w:pPr>
          <w:hyperlink w:anchor="_Toc87892829" w:history="1">
            <w:r w:rsidRPr="00B70658">
              <w:rPr>
                <w:rStyle w:val="Hipervnculo"/>
                <w:rFonts w:eastAsia="Yu Gothic Light" w:cstheme="minorHAnsi"/>
                <w:b/>
                <w:bCs/>
                <w:i/>
                <w:iCs/>
                <w:noProof/>
              </w:rPr>
              <w:t>2.2.</w:t>
            </w:r>
            <w:r>
              <w:rPr>
                <w:rFonts w:eastAsiaTheme="minorEastAsia"/>
                <w:noProof/>
                <w:lang w:eastAsia="es-CO"/>
              </w:rPr>
              <w:tab/>
            </w:r>
            <w:r w:rsidRPr="00B70658">
              <w:rPr>
                <w:rStyle w:val="Hipervnculo"/>
                <w:rFonts w:cstheme="minorHAnsi"/>
                <w:b/>
                <w:bCs/>
                <w:i/>
                <w:iCs/>
                <w:noProof/>
              </w:rPr>
              <w:t>Los criterios de depuración</w:t>
            </w:r>
            <w:r>
              <w:rPr>
                <w:noProof/>
                <w:webHidden/>
              </w:rPr>
              <w:tab/>
            </w:r>
            <w:r>
              <w:rPr>
                <w:noProof/>
                <w:webHidden/>
              </w:rPr>
              <w:fldChar w:fldCharType="begin"/>
            </w:r>
            <w:r>
              <w:rPr>
                <w:noProof/>
                <w:webHidden/>
              </w:rPr>
              <w:instrText xml:space="preserve"> PAGEREF _Toc87892829 \h </w:instrText>
            </w:r>
            <w:r>
              <w:rPr>
                <w:noProof/>
                <w:webHidden/>
              </w:rPr>
            </w:r>
            <w:r>
              <w:rPr>
                <w:noProof/>
                <w:webHidden/>
              </w:rPr>
              <w:fldChar w:fldCharType="separate"/>
            </w:r>
            <w:r>
              <w:rPr>
                <w:noProof/>
                <w:webHidden/>
              </w:rPr>
              <w:t>6</w:t>
            </w:r>
            <w:r>
              <w:rPr>
                <w:noProof/>
                <w:webHidden/>
              </w:rPr>
              <w:fldChar w:fldCharType="end"/>
            </w:r>
          </w:hyperlink>
        </w:p>
        <w:p w14:paraId="2FB02929" w14:textId="45A0B2DF" w:rsidR="00A979BD" w:rsidRDefault="00A979BD">
          <w:pPr>
            <w:pStyle w:val="TDC1"/>
            <w:tabs>
              <w:tab w:val="left" w:pos="440"/>
            </w:tabs>
            <w:rPr>
              <w:rFonts w:eastAsiaTheme="minorEastAsia"/>
              <w:noProof/>
              <w:lang w:eastAsia="es-CO"/>
            </w:rPr>
          </w:pPr>
          <w:hyperlink w:anchor="_Toc87892830" w:history="1">
            <w:r w:rsidRPr="00B70658">
              <w:rPr>
                <w:rStyle w:val="Hipervnculo"/>
                <w:noProof/>
              </w:rPr>
              <w:t>3.</w:t>
            </w:r>
            <w:r>
              <w:rPr>
                <w:rFonts w:eastAsiaTheme="minorEastAsia"/>
                <w:noProof/>
                <w:lang w:eastAsia="es-CO"/>
              </w:rPr>
              <w:tab/>
            </w:r>
            <w:r w:rsidRPr="00B70658">
              <w:rPr>
                <w:rStyle w:val="Hipervnculo"/>
                <w:noProof/>
              </w:rPr>
              <w:t>RESULTADOS</w:t>
            </w:r>
            <w:r>
              <w:rPr>
                <w:noProof/>
                <w:webHidden/>
              </w:rPr>
              <w:tab/>
            </w:r>
            <w:r>
              <w:rPr>
                <w:noProof/>
                <w:webHidden/>
              </w:rPr>
              <w:fldChar w:fldCharType="begin"/>
            </w:r>
            <w:r>
              <w:rPr>
                <w:noProof/>
                <w:webHidden/>
              </w:rPr>
              <w:instrText xml:space="preserve"> PAGEREF _Toc87892830 \h </w:instrText>
            </w:r>
            <w:r>
              <w:rPr>
                <w:noProof/>
                <w:webHidden/>
              </w:rPr>
            </w:r>
            <w:r>
              <w:rPr>
                <w:noProof/>
                <w:webHidden/>
              </w:rPr>
              <w:fldChar w:fldCharType="separate"/>
            </w:r>
            <w:r>
              <w:rPr>
                <w:noProof/>
                <w:webHidden/>
              </w:rPr>
              <w:t>6</w:t>
            </w:r>
            <w:r>
              <w:rPr>
                <w:noProof/>
                <w:webHidden/>
              </w:rPr>
              <w:fldChar w:fldCharType="end"/>
            </w:r>
          </w:hyperlink>
        </w:p>
        <w:p w14:paraId="1427C936" w14:textId="6F027F1E" w:rsidR="00A979BD" w:rsidRDefault="00A979BD">
          <w:pPr>
            <w:pStyle w:val="TDC2"/>
            <w:tabs>
              <w:tab w:val="left" w:pos="880"/>
              <w:tab w:val="right" w:leader="dot" w:pos="9060"/>
            </w:tabs>
            <w:rPr>
              <w:rFonts w:eastAsiaTheme="minorEastAsia"/>
              <w:noProof/>
              <w:lang w:eastAsia="es-CO"/>
            </w:rPr>
          </w:pPr>
          <w:hyperlink w:anchor="_Toc87892831" w:history="1">
            <w:r w:rsidRPr="00B70658">
              <w:rPr>
                <w:rStyle w:val="Hipervnculo"/>
                <w:rFonts w:eastAsia="Times New Roman" w:cstheme="minorHAnsi"/>
                <w:b/>
                <w:bCs/>
                <w:i/>
                <w:iCs/>
                <w:noProof/>
              </w:rPr>
              <w:t>3.1.</w:t>
            </w:r>
            <w:r>
              <w:rPr>
                <w:rFonts w:eastAsiaTheme="minorEastAsia"/>
                <w:noProof/>
                <w:lang w:eastAsia="es-CO"/>
              </w:rPr>
              <w:tab/>
            </w:r>
            <w:r w:rsidRPr="00B70658">
              <w:rPr>
                <w:rStyle w:val="Hipervnculo"/>
                <w:rFonts w:cstheme="minorHAnsi"/>
                <w:b/>
                <w:bCs/>
                <w:i/>
                <w:iCs/>
                <w:noProof/>
              </w:rPr>
              <w:t>La ecuación de búsqueda</w:t>
            </w:r>
            <w:r>
              <w:rPr>
                <w:noProof/>
                <w:webHidden/>
              </w:rPr>
              <w:tab/>
            </w:r>
            <w:r>
              <w:rPr>
                <w:noProof/>
                <w:webHidden/>
              </w:rPr>
              <w:fldChar w:fldCharType="begin"/>
            </w:r>
            <w:r>
              <w:rPr>
                <w:noProof/>
                <w:webHidden/>
              </w:rPr>
              <w:instrText xml:space="preserve"> PAGEREF _Toc87892831 \h </w:instrText>
            </w:r>
            <w:r>
              <w:rPr>
                <w:noProof/>
                <w:webHidden/>
              </w:rPr>
            </w:r>
            <w:r>
              <w:rPr>
                <w:noProof/>
                <w:webHidden/>
              </w:rPr>
              <w:fldChar w:fldCharType="separate"/>
            </w:r>
            <w:r>
              <w:rPr>
                <w:noProof/>
                <w:webHidden/>
              </w:rPr>
              <w:t>6</w:t>
            </w:r>
            <w:r>
              <w:rPr>
                <w:noProof/>
                <w:webHidden/>
              </w:rPr>
              <w:fldChar w:fldCharType="end"/>
            </w:r>
          </w:hyperlink>
        </w:p>
        <w:p w14:paraId="555EE2C0" w14:textId="1C91477D" w:rsidR="00A979BD" w:rsidRDefault="00A979BD">
          <w:pPr>
            <w:pStyle w:val="TDC2"/>
            <w:tabs>
              <w:tab w:val="left" w:pos="880"/>
              <w:tab w:val="right" w:leader="dot" w:pos="9060"/>
            </w:tabs>
            <w:rPr>
              <w:rFonts w:eastAsiaTheme="minorEastAsia"/>
              <w:noProof/>
              <w:lang w:eastAsia="es-CO"/>
            </w:rPr>
          </w:pPr>
          <w:hyperlink w:anchor="_Toc87892832" w:history="1">
            <w:r w:rsidRPr="00B70658">
              <w:rPr>
                <w:rStyle w:val="Hipervnculo"/>
                <w:rFonts w:cstheme="minorHAnsi"/>
                <w:b/>
                <w:bCs/>
                <w:i/>
                <w:iCs/>
                <w:noProof/>
              </w:rPr>
              <w:t>3.2.</w:t>
            </w:r>
            <w:r>
              <w:rPr>
                <w:rFonts w:eastAsiaTheme="minorEastAsia"/>
                <w:noProof/>
                <w:lang w:eastAsia="es-CO"/>
              </w:rPr>
              <w:tab/>
            </w:r>
            <w:r w:rsidRPr="00B70658">
              <w:rPr>
                <w:rStyle w:val="Hipervnculo"/>
                <w:rFonts w:cstheme="minorHAnsi"/>
                <w:b/>
                <w:bCs/>
                <w:i/>
                <w:iCs/>
                <w:noProof/>
              </w:rPr>
              <w:t>La depuración del corpus</w:t>
            </w:r>
            <w:r>
              <w:rPr>
                <w:noProof/>
                <w:webHidden/>
              </w:rPr>
              <w:tab/>
            </w:r>
            <w:r>
              <w:rPr>
                <w:noProof/>
                <w:webHidden/>
              </w:rPr>
              <w:fldChar w:fldCharType="begin"/>
            </w:r>
            <w:r>
              <w:rPr>
                <w:noProof/>
                <w:webHidden/>
              </w:rPr>
              <w:instrText xml:space="preserve"> PAGEREF _Toc87892832 \h </w:instrText>
            </w:r>
            <w:r>
              <w:rPr>
                <w:noProof/>
                <w:webHidden/>
              </w:rPr>
            </w:r>
            <w:r>
              <w:rPr>
                <w:noProof/>
                <w:webHidden/>
              </w:rPr>
              <w:fldChar w:fldCharType="separate"/>
            </w:r>
            <w:r>
              <w:rPr>
                <w:noProof/>
                <w:webHidden/>
              </w:rPr>
              <w:t>6</w:t>
            </w:r>
            <w:r>
              <w:rPr>
                <w:noProof/>
                <w:webHidden/>
              </w:rPr>
              <w:fldChar w:fldCharType="end"/>
            </w:r>
          </w:hyperlink>
        </w:p>
        <w:p w14:paraId="342DBA31" w14:textId="3E3A70C3" w:rsidR="00A979BD" w:rsidRDefault="00A979BD">
          <w:pPr>
            <w:pStyle w:val="TDC2"/>
            <w:tabs>
              <w:tab w:val="left" w:pos="880"/>
              <w:tab w:val="right" w:leader="dot" w:pos="9060"/>
            </w:tabs>
            <w:rPr>
              <w:rFonts w:eastAsiaTheme="minorEastAsia"/>
              <w:noProof/>
              <w:lang w:eastAsia="es-CO"/>
            </w:rPr>
          </w:pPr>
          <w:hyperlink w:anchor="_Toc87892833" w:history="1">
            <w:r w:rsidRPr="00B70658">
              <w:rPr>
                <w:rStyle w:val="Hipervnculo"/>
                <w:b/>
                <w:bCs/>
                <w:i/>
                <w:iCs/>
                <w:noProof/>
                <w:lang w:eastAsia="es-ES"/>
              </w:rPr>
              <w:t>3.3.</w:t>
            </w:r>
            <w:r>
              <w:rPr>
                <w:rFonts w:eastAsiaTheme="minorEastAsia"/>
                <w:noProof/>
                <w:lang w:eastAsia="es-CO"/>
              </w:rPr>
              <w:tab/>
            </w:r>
            <w:r w:rsidRPr="00B70658">
              <w:rPr>
                <w:rStyle w:val="Hipervnculo"/>
                <w:b/>
                <w:bCs/>
                <w:i/>
                <w:iCs/>
                <w:noProof/>
                <w:lang w:eastAsia="es-ES"/>
              </w:rPr>
              <w:t>Análisis de los hallazgos</w:t>
            </w:r>
            <w:r>
              <w:rPr>
                <w:noProof/>
                <w:webHidden/>
              </w:rPr>
              <w:tab/>
            </w:r>
            <w:r>
              <w:rPr>
                <w:noProof/>
                <w:webHidden/>
              </w:rPr>
              <w:fldChar w:fldCharType="begin"/>
            </w:r>
            <w:r>
              <w:rPr>
                <w:noProof/>
                <w:webHidden/>
              </w:rPr>
              <w:instrText xml:space="preserve"> PAGEREF _Toc87892833 \h </w:instrText>
            </w:r>
            <w:r>
              <w:rPr>
                <w:noProof/>
                <w:webHidden/>
              </w:rPr>
            </w:r>
            <w:r>
              <w:rPr>
                <w:noProof/>
                <w:webHidden/>
              </w:rPr>
              <w:fldChar w:fldCharType="separate"/>
            </w:r>
            <w:r>
              <w:rPr>
                <w:noProof/>
                <w:webHidden/>
              </w:rPr>
              <w:t>7</w:t>
            </w:r>
            <w:r>
              <w:rPr>
                <w:noProof/>
                <w:webHidden/>
              </w:rPr>
              <w:fldChar w:fldCharType="end"/>
            </w:r>
          </w:hyperlink>
        </w:p>
        <w:p w14:paraId="594CA67E" w14:textId="4E88C2A0" w:rsidR="00A979BD" w:rsidRDefault="00A979BD">
          <w:pPr>
            <w:pStyle w:val="TDC2"/>
            <w:tabs>
              <w:tab w:val="left" w:pos="880"/>
              <w:tab w:val="right" w:leader="dot" w:pos="9060"/>
            </w:tabs>
            <w:rPr>
              <w:rFonts w:eastAsiaTheme="minorEastAsia"/>
              <w:noProof/>
              <w:lang w:eastAsia="es-CO"/>
            </w:rPr>
          </w:pPr>
          <w:hyperlink w:anchor="_Toc87892834" w:history="1">
            <w:r w:rsidRPr="00B70658">
              <w:rPr>
                <w:rStyle w:val="Hipervnculo"/>
                <w:b/>
                <w:bCs/>
                <w:i/>
                <w:iCs/>
                <w:noProof/>
                <w:lang w:eastAsia="es-ES"/>
              </w:rPr>
              <w:t>3.4.</w:t>
            </w:r>
            <w:r>
              <w:rPr>
                <w:rFonts w:eastAsiaTheme="minorEastAsia"/>
                <w:noProof/>
                <w:lang w:eastAsia="es-CO"/>
              </w:rPr>
              <w:tab/>
            </w:r>
            <w:r w:rsidRPr="00B70658">
              <w:rPr>
                <w:rStyle w:val="Hipervnculo"/>
                <w:b/>
                <w:bCs/>
                <w:i/>
                <w:iCs/>
                <w:noProof/>
                <w:lang w:eastAsia="es-ES"/>
              </w:rPr>
              <w:t>Evaluación crítica de las RSL</w:t>
            </w:r>
            <w:r>
              <w:rPr>
                <w:noProof/>
                <w:webHidden/>
              </w:rPr>
              <w:tab/>
            </w:r>
            <w:r>
              <w:rPr>
                <w:noProof/>
                <w:webHidden/>
              </w:rPr>
              <w:fldChar w:fldCharType="begin"/>
            </w:r>
            <w:r>
              <w:rPr>
                <w:noProof/>
                <w:webHidden/>
              </w:rPr>
              <w:instrText xml:space="preserve"> PAGEREF _Toc87892834 \h </w:instrText>
            </w:r>
            <w:r>
              <w:rPr>
                <w:noProof/>
                <w:webHidden/>
              </w:rPr>
            </w:r>
            <w:r>
              <w:rPr>
                <w:noProof/>
                <w:webHidden/>
              </w:rPr>
              <w:fldChar w:fldCharType="separate"/>
            </w:r>
            <w:r>
              <w:rPr>
                <w:noProof/>
                <w:webHidden/>
              </w:rPr>
              <w:t>9</w:t>
            </w:r>
            <w:r>
              <w:rPr>
                <w:noProof/>
                <w:webHidden/>
              </w:rPr>
              <w:fldChar w:fldCharType="end"/>
            </w:r>
          </w:hyperlink>
        </w:p>
        <w:p w14:paraId="6C9C0E8E" w14:textId="3ACEF425" w:rsidR="00A979BD" w:rsidRDefault="00A979BD">
          <w:pPr>
            <w:pStyle w:val="TDC1"/>
            <w:tabs>
              <w:tab w:val="left" w:pos="440"/>
            </w:tabs>
            <w:rPr>
              <w:rFonts w:eastAsiaTheme="minorEastAsia"/>
              <w:noProof/>
              <w:lang w:eastAsia="es-CO"/>
            </w:rPr>
          </w:pPr>
          <w:hyperlink w:anchor="_Toc87892835" w:history="1">
            <w:r w:rsidRPr="00B70658">
              <w:rPr>
                <w:rStyle w:val="Hipervnculo"/>
                <w:noProof/>
                <w:lang w:eastAsia="es-ES"/>
              </w:rPr>
              <w:t>4.</w:t>
            </w:r>
            <w:r>
              <w:rPr>
                <w:rFonts w:eastAsiaTheme="minorEastAsia"/>
                <w:noProof/>
                <w:lang w:eastAsia="es-CO"/>
              </w:rPr>
              <w:tab/>
            </w:r>
            <w:r w:rsidRPr="00B70658">
              <w:rPr>
                <w:rStyle w:val="Hipervnculo"/>
                <w:noProof/>
                <w:lang w:eastAsia="es-ES"/>
              </w:rPr>
              <w:t>DISCUSIÓN</w:t>
            </w:r>
            <w:r>
              <w:rPr>
                <w:noProof/>
                <w:webHidden/>
              </w:rPr>
              <w:tab/>
            </w:r>
            <w:r>
              <w:rPr>
                <w:noProof/>
                <w:webHidden/>
              </w:rPr>
              <w:fldChar w:fldCharType="begin"/>
            </w:r>
            <w:r>
              <w:rPr>
                <w:noProof/>
                <w:webHidden/>
              </w:rPr>
              <w:instrText xml:space="preserve"> PAGEREF _Toc87892835 \h </w:instrText>
            </w:r>
            <w:r>
              <w:rPr>
                <w:noProof/>
                <w:webHidden/>
              </w:rPr>
            </w:r>
            <w:r>
              <w:rPr>
                <w:noProof/>
                <w:webHidden/>
              </w:rPr>
              <w:fldChar w:fldCharType="separate"/>
            </w:r>
            <w:r>
              <w:rPr>
                <w:noProof/>
                <w:webHidden/>
              </w:rPr>
              <w:t>13</w:t>
            </w:r>
            <w:r>
              <w:rPr>
                <w:noProof/>
                <w:webHidden/>
              </w:rPr>
              <w:fldChar w:fldCharType="end"/>
            </w:r>
          </w:hyperlink>
        </w:p>
        <w:p w14:paraId="39E7552C" w14:textId="37AA1390" w:rsidR="00A979BD" w:rsidRDefault="00A979BD">
          <w:pPr>
            <w:pStyle w:val="TDC1"/>
            <w:tabs>
              <w:tab w:val="left" w:pos="440"/>
            </w:tabs>
            <w:rPr>
              <w:rFonts w:eastAsiaTheme="minorEastAsia"/>
              <w:noProof/>
              <w:lang w:eastAsia="es-CO"/>
            </w:rPr>
          </w:pPr>
          <w:hyperlink w:anchor="_Toc87892836" w:history="1">
            <w:r w:rsidRPr="00B70658">
              <w:rPr>
                <w:rStyle w:val="Hipervnculo"/>
                <w:noProof/>
                <w:lang w:eastAsia="es-ES"/>
              </w:rPr>
              <w:t>5.</w:t>
            </w:r>
            <w:r>
              <w:rPr>
                <w:rFonts w:eastAsiaTheme="minorEastAsia"/>
                <w:noProof/>
                <w:lang w:eastAsia="es-CO"/>
              </w:rPr>
              <w:tab/>
            </w:r>
            <w:r w:rsidRPr="00B70658">
              <w:rPr>
                <w:rStyle w:val="Hipervnculo"/>
                <w:noProof/>
                <w:lang w:eastAsia="es-ES"/>
              </w:rPr>
              <w:t>LIMITACIONES Y FUTURAS LÍNEAS DE TRABAJO</w:t>
            </w:r>
            <w:r>
              <w:rPr>
                <w:noProof/>
                <w:webHidden/>
              </w:rPr>
              <w:tab/>
            </w:r>
            <w:r>
              <w:rPr>
                <w:noProof/>
                <w:webHidden/>
              </w:rPr>
              <w:fldChar w:fldCharType="begin"/>
            </w:r>
            <w:r>
              <w:rPr>
                <w:noProof/>
                <w:webHidden/>
              </w:rPr>
              <w:instrText xml:space="preserve"> PAGEREF _Toc87892836 \h </w:instrText>
            </w:r>
            <w:r>
              <w:rPr>
                <w:noProof/>
                <w:webHidden/>
              </w:rPr>
            </w:r>
            <w:r>
              <w:rPr>
                <w:noProof/>
                <w:webHidden/>
              </w:rPr>
              <w:fldChar w:fldCharType="separate"/>
            </w:r>
            <w:r>
              <w:rPr>
                <w:noProof/>
                <w:webHidden/>
              </w:rPr>
              <w:t>13</w:t>
            </w:r>
            <w:r>
              <w:rPr>
                <w:noProof/>
                <w:webHidden/>
              </w:rPr>
              <w:fldChar w:fldCharType="end"/>
            </w:r>
          </w:hyperlink>
        </w:p>
        <w:p w14:paraId="7ABB4EED" w14:textId="77E4CB97" w:rsidR="00A979BD" w:rsidRDefault="00A979BD">
          <w:pPr>
            <w:pStyle w:val="TDC1"/>
            <w:rPr>
              <w:rFonts w:eastAsiaTheme="minorEastAsia"/>
              <w:noProof/>
              <w:lang w:eastAsia="es-CO"/>
            </w:rPr>
          </w:pPr>
          <w:hyperlink w:anchor="_Toc87892837" w:history="1">
            <w:r w:rsidRPr="00B70658">
              <w:rPr>
                <w:rStyle w:val="Hipervnculo"/>
                <w:noProof/>
                <w:lang w:eastAsia="es-ES"/>
              </w:rPr>
              <w:t>REFERENCIAS</w:t>
            </w:r>
            <w:r>
              <w:rPr>
                <w:noProof/>
                <w:webHidden/>
              </w:rPr>
              <w:tab/>
            </w:r>
            <w:r>
              <w:rPr>
                <w:noProof/>
                <w:webHidden/>
              </w:rPr>
              <w:fldChar w:fldCharType="begin"/>
            </w:r>
            <w:r>
              <w:rPr>
                <w:noProof/>
                <w:webHidden/>
              </w:rPr>
              <w:instrText xml:space="preserve"> PAGEREF _Toc87892837 \h </w:instrText>
            </w:r>
            <w:r>
              <w:rPr>
                <w:noProof/>
                <w:webHidden/>
              </w:rPr>
            </w:r>
            <w:r>
              <w:rPr>
                <w:noProof/>
                <w:webHidden/>
              </w:rPr>
              <w:fldChar w:fldCharType="separate"/>
            </w:r>
            <w:r>
              <w:rPr>
                <w:noProof/>
                <w:webHidden/>
              </w:rPr>
              <w:t>14</w:t>
            </w:r>
            <w:r>
              <w:rPr>
                <w:noProof/>
                <w:webHidden/>
              </w:rPr>
              <w:fldChar w:fldCharType="end"/>
            </w:r>
          </w:hyperlink>
        </w:p>
        <w:p w14:paraId="7E5F781B" w14:textId="7ECFC10C" w:rsidR="0014761E" w:rsidRDefault="0014761E">
          <w:r>
            <w:rPr>
              <w:b/>
              <w:bCs/>
              <w:lang w:val="es-ES"/>
            </w:rPr>
            <w:fldChar w:fldCharType="end"/>
          </w:r>
        </w:p>
      </w:sdtContent>
    </w:sdt>
    <w:p w14:paraId="08C14F78" w14:textId="4DC23A87" w:rsidR="0014761E" w:rsidRDefault="0014761E">
      <w:pPr>
        <w:rPr>
          <w:rFonts w:eastAsia="Times New Roman"/>
          <w:b/>
          <w:color w:val="000000"/>
          <w:sz w:val="36"/>
          <w:szCs w:val="36"/>
          <w:lang w:eastAsia="es-CO"/>
        </w:rPr>
      </w:pPr>
      <w:r w:rsidRPr="4EE46FEB">
        <w:rPr>
          <w:rFonts w:eastAsia="Times New Roman"/>
          <w:b/>
          <w:color w:val="000000" w:themeColor="text1"/>
          <w:sz w:val="36"/>
          <w:szCs w:val="36"/>
          <w:lang w:eastAsia="es-CO"/>
        </w:rPr>
        <w:br w:type="page"/>
      </w:r>
    </w:p>
    <w:p w14:paraId="5198D29C" w14:textId="29F0CBEA" w:rsidR="00DD70D5" w:rsidRPr="004C174D" w:rsidRDefault="00DD70D5" w:rsidP="00DD70D5">
      <w:pPr>
        <w:spacing w:after="0" w:line="240" w:lineRule="auto"/>
        <w:jc w:val="center"/>
        <w:rPr>
          <w:rFonts w:eastAsia="Times New Roman" w:cstheme="minorHAnsi"/>
          <w:b/>
          <w:bCs/>
          <w:sz w:val="24"/>
          <w:szCs w:val="24"/>
          <w:lang w:eastAsia="es-CO"/>
        </w:rPr>
      </w:pPr>
      <w:r w:rsidRPr="004C174D">
        <w:rPr>
          <w:rFonts w:eastAsia="Times New Roman" w:cstheme="minorHAnsi"/>
          <w:b/>
          <w:bCs/>
          <w:color w:val="000000"/>
          <w:sz w:val="36"/>
          <w:szCs w:val="36"/>
          <w:lang w:eastAsia="es-CO"/>
        </w:rPr>
        <w:lastRenderedPageBreak/>
        <w:t xml:space="preserve">INFLUENCIA DE MICHEL FOUCAULT EN LA INVESTIGACIÓN CONTABLE ALTERNATIVA: </w:t>
      </w:r>
      <w:r w:rsidR="00791C41" w:rsidRPr="68675208">
        <w:rPr>
          <w:rFonts w:eastAsia="Times New Roman"/>
          <w:b/>
          <w:bCs/>
          <w:color w:val="000000" w:themeColor="text1"/>
          <w:sz w:val="36"/>
          <w:szCs w:val="36"/>
          <w:lang w:eastAsia="es-CO"/>
        </w:rPr>
        <w:t>UN</w:t>
      </w:r>
      <w:r w:rsidR="00791C41">
        <w:rPr>
          <w:rFonts w:eastAsia="Times New Roman"/>
          <w:b/>
          <w:bCs/>
          <w:color w:val="000000" w:themeColor="text1"/>
          <w:sz w:val="36"/>
          <w:szCs w:val="36"/>
          <w:lang w:eastAsia="es-CO"/>
        </w:rPr>
        <w:t xml:space="preserve"> BALANCE </w:t>
      </w:r>
      <w:r w:rsidRPr="004C174D">
        <w:rPr>
          <w:rFonts w:eastAsia="Times New Roman" w:cstheme="minorHAnsi"/>
          <w:b/>
          <w:bCs/>
          <w:color w:val="000000"/>
          <w:sz w:val="36"/>
          <w:szCs w:val="36"/>
          <w:lang w:eastAsia="es-CO"/>
        </w:rPr>
        <w:t>DE REVISIONES DE LITERATURA</w:t>
      </w:r>
    </w:p>
    <w:p w14:paraId="6112C4DB" w14:textId="351369B3" w:rsidR="00DD70D5" w:rsidRPr="00E26E72" w:rsidRDefault="00906031" w:rsidP="00DD70D5">
      <w:pPr>
        <w:pStyle w:val="Ttulo1"/>
        <w:rPr>
          <w:rFonts w:asciiTheme="minorHAnsi" w:hAnsiTheme="minorHAnsi" w:cstheme="minorHAnsi"/>
          <w:sz w:val="24"/>
          <w:szCs w:val="24"/>
          <w:lang w:eastAsia="es-ES_tradnl"/>
        </w:rPr>
      </w:pPr>
      <w:bookmarkStart w:id="1" w:name="_Toc87892824"/>
      <w:r w:rsidRPr="00E26E72">
        <w:rPr>
          <w:rFonts w:asciiTheme="minorHAnsi" w:hAnsiTheme="minorHAnsi" w:cstheme="minorHAnsi"/>
          <w:sz w:val="24"/>
          <w:szCs w:val="24"/>
          <w:lang w:eastAsia="es-ES_tradnl"/>
        </w:rPr>
        <w:t>RESUMEN</w:t>
      </w:r>
      <w:bookmarkEnd w:id="0"/>
      <w:bookmarkEnd w:id="1"/>
      <w:r w:rsidRPr="00E26E72">
        <w:rPr>
          <w:rFonts w:asciiTheme="minorHAnsi" w:hAnsiTheme="minorHAnsi" w:cstheme="minorHAnsi"/>
          <w:sz w:val="24"/>
          <w:szCs w:val="24"/>
          <w:lang w:eastAsia="es-ES_tradnl"/>
        </w:rPr>
        <w:t xml:space="preserve"> </w:t>
      </w:r>
    </w:p>
    <w:p w14:paraId="2816F700" w14:textId="00833DE8" w:rsidR="00DD70D5" w:rsidRPr="00A800AF" w:rsidRDefault="002D6DEA" w:rsidP="00DD70D5">
      <w:pPr>
        <w:spacing w:before="100" w:beforeAutospacing="1" w:after="100" w:afterAutospacing="1"/>
        <w:jc w:val="both"/>
        <w:rPr>
          <w:rFonts w:cstheme="minorHAnsi"/>
          <w:i/>
          <w:iCs/>
        </w:rPr>
      </w:pPr>
      <w:r>
        <w:rPr>
          <w:rFonts w:cstheme="minorHAnsi"/>
        </w:rPr>
        <w:t>Este</w:t>
      </w:r>
      <w:r w:rsidR="00DD70D5" w:rsidRPr="004C174D">
        <w:rPr>
          <w:rFonts w:cstheme="minorHAnsi"/>
        </w:rPr>
        <w:t xml:space="preserve"> trabajo </w:t>
      </w:r>
      <w:r w:rsidR="00A800AF">
        <w:rPr>
          <w:rFonts w:cstheme="minorHAnsi"/>
        </w:rPr>
        <w:t>presenta</w:t>
      </w:r>
      <w:r>
        <w:rPr>
          <w:rFonts w:cstheme="minorHAnsi"/>
        </w:rPr>
        <w:t xml:space="preserve"> una</w:t>
      </w:r>
      <w:r w:rsidR="00DD70D5" w:rsidRPr="004C174D">
        <w:rPr>
          <w:rFonts w:cstheme="minorHAnsi"/>
        </w:rPr>
        <w:t xml:space="preserve"> Revisión Sistemática de Literatura (RSL) </w:t>
      </w:r>
      <w:r w:rsidR="00403C3D">
        <w:rPr>
          <w:rFonts w:cstheme="minorHAnsi"/>
        </w:rPr>
        <w:t>que rastrea</w:t>
      </w:r>
      <w:r w:rsidR="00DD70D5" w:rsidRPr="004C174D">
        <w:rPr>
          <w:rFonts w:cstheme="minorHAnsi"/>
        </w:rPr>
        <w:t xml:space="preserve"> </w:t>
      </w:r>
      <w:r w:rsidR="00283B33" w:rsidRPr="004C174D">
        <w:rPr>
          <w:rFonts w:cstheme="minorHAnsi"/>
        </w:rPr>
        <w:t xml:space="preserve">el uso </w:t>
      </w:r>
      <w:r w:rsidR="00DD70D5" w:rsidRPr="004C174D">
        <w:rPr>
          <w:rFonts w:cstheme="minorHAnsi"/>
        </w:rPr>
        <w:t>del marco teórico</w:t>
      </w:r>
      <w:r>
        <w:rPr>
          <w:rFonts w:cstheme="minorHAnsi"/>
        </w:rPr>
        <w:t xml:space="preserve"> d</w:t>
      </w:r>
      <w:r w:rsidR="00DD70D5" w:rsidRPr="004C174D">
        <w:rPr>
          <w:rFonts w:cstheme="minorHAnsi"/>
        </w:rPr>
        <w:t>e</w:t>
      </w:r>
      <w:r>
        <w:rPr>
          <w:rFonts w:cstheme="minorHAnsi"/>
        </w:rPr>
        <w:t xml:space="preserve"> </w:t>
      </w:r>
      <w:r w:rsidR="00DD70D5" w:rsidRPr="004C174D">
        <w:rPr>
          <w:rFonts w:cstheme="minorHAnsi"/>
        </w:rPr>
        <w:t xml:space="preserve">Michel Foucault </w:t>
      </w:r>
      <w:r>
        <w:rPr>
          <w:rFonts w:cstheme="minorHAnsi"/>
        </w:rPr>
        <w:t xml:space="preserve">en </w:t>
      </w:r>
      <w:r w:rsidR="00DD70D5" w:rsidRPr="004C174D">
        <w:rPr>
          <w:rFonts w:cstheme="minorHAnsi"/>
        </w:rPr>
        <w:t xml:space="preserve">la investigación contable. </w:t>
      </w:r>
      <w:r w:rsidR="00A800AF">
        <w:rPr>
          <w:rFonts w:cstheme="minorHAnsi"/>
        </w:rPr>
        <w:t>S</w:t>
      </w:r>
      <w:r w:rsidR="00DD70D5" w:rsidRPr="004C174D">
        <w:rPr>
          <w:rFonts w:cstheme="minorHAnsi"/>
        </w:rPr>
        <w:t xml:space="preserve">igue la ruta trazada por </w:t>
      </w:r>
      <w:r w:rsidR="00A800AF" w:rsidRPr="004C174D">
        <w:rPr>
          <w:rFonts w:cstheme="minorHAnsi"/>
        </w:rPr>
        <w:t xml:space="preserve">Rivera </w:t>
      </w:r>
      <w:r w:rsidR="00A800AF">
        <w:rPr>
          <w:rFonts w:cstheme="minorHAnsi"/>
        </w:rPr>
        <w:fldChar w:fldCharType="begin" w:fldLock="1"/>
      </w:r>
      <w:r w:rsidR="00A70173">
        <w:rPr>
          <w:rFonts w:cstheme="minorHAnsi"/>
        </w:rPr>
        <w:instrText>ADDIN CSL_CITATION {"citationItems":[{"id":"ITEM-1","itemData":{"DOI":"10.1504/IJCA.2012.051466","ISSN":"1757-9848","abstract":"The aim of this work is to build a map of Foucault’s approach. To achieve this objective, this work is focused on a broad revision and analysis of accounting and various publications. This work also includes a research on Foucault’s work so as to identify and compare the various manifestations of power relationships considered by different researchers. Once these manifestations of power as discourse, discipline, ethics, government, among others, have been identified, the specific influence of each one over accounting and management is determined as an attempt to provide a general view of this critical Foucauldian perspective over the study of organisations.","author":[{"dropping-particle":"","family":"Rivera","given":"Eduardo","non-dropping-particle":"","parse-names":false,"suffix":""}],"container-title":"International Journal of Critical Accounting","id":"ITEM-1","issue":"5/6","issued":{"date-parts":[["2012","12","10"]]},"page":"728","title":"Foucault: His influence over accounting and management research. Building of a map of Foucault's approach","type":"article-journal","volume":"4"},"suppress-author":1,"uris":["http://www.mendeley.com/documents/?uuid=78e4ca22-b7a6-4807-9b0f-b1bd72582de6"]}],"mendeley":{"formattedCitation":"(2012)","plainTextFormattedCitation":"(2012)","previouslyFormattedCitation":"(2012)"},"properties":{"noteIndex":0},"schema":"https://github.com/citation-style-language/schema/raw/master/csl-citation.json"}</w:instrText>
      </w:r>
      <w:r w:rsidR="00A800AF">
        <w:rPr>
          <w:rFonts w:cstheme="minorHAnsi"/>
        </w:rPr>
        <w:fldChar w:fldCharType="separate"/>
      </w:r>
      <w:r w:rsidR="00A800AF" w:rsidRPr="00A800AF">
        <w:rPr>
          <w:rFonts w:cstheme="minorHAnsi"/>
          <w:noProof/>
        </w:rPr>
        <w:t>(2012)</w:t>
      </w:r>
      <w:r w:rsidR="00A800AF">
        <w:rPr>
          <w:rFonts w:cstheme="minorHAnsi"/>
        </w:rPr>
        <w:fldChar w:fldCharType="end"/>
      </w:r>
      <w:r w:rsidR="00A800AF">
        <w:rPr>
          <w:rFonts w:cstheme="minorHAnsi"/>
        </w:rPr>
        <w:t xml:space="preserve"> y </w:t>
      </w:r>
      <w:r w:rsidR="00DD70D5" w:rsidRPr="004C174D">
        <w:rPr>
          <w:rFonts w:cstheme="minorHAnsi"/>
        </w:rPr>
        <w:t xml:space="preserve">Ocampo </w:t>
      </w:r>
      <w:r w:rsidR="00A800AF">
        <w:rPr>
          <w:rFonts w:cstheme="minorHAnsi"/>
        </w:rPr>
        <w:fldChar w:fldCharType="begin" w:fldLock="1"/>
      </w:r>
      <w:r w:rsidR="00A800AF">
        <w:rPr>
          <w:rFonts w:cstheme="minorHAnsi"/>
        </w:rPr>
        <w:instrText>ADDIN CSL_CITATION {"citationItems":[{"id":"ITEM-1","itemData":{"DOI":"10.11144/Javeriana.cc19-47.pefc","ISSN":"2500-6045","abstract":"En este documento se presenta un panorama del efecto Foucault en contabilidad y gestión pública, con el fin de evidenciar temáticas, autores y vacíos de investigación desde los estudios en gubernamentalidad. La unidad de análisis fueron setenta textos seleccionados en una revisión sistemática de artículos publicados entre 2012 y 2016, en cinco de las principales revistas internacionales relacionadas con las disciplinas analizadas. Para la recolección de los datos y la codificación de la información se utilizó una matriz de Excel y el software de investigación cualitativa Atlas.ti, versión 7.5.16. La comprensión de la información se complementó con un método de análisis de frecuencia y un análisis de red. Dentro de los resultados se destacan cuatro ejes temáticos: la gestión calculada, el gobierno a distancia, la modernización del gobierno y la contabilidad de la ciudad. Además, los cinco autores que más han publicado en el tema: Dean Neu, Cameron Graham, Eric Pezet, Ingrid Jeacle y Peter Miller, así como las redes de cooperación entre países, dentro de los cuales se evidencia a Reino Unido y Canadá. También se identifica que el principal reto de investigación está en entender la contabilidad de las ciudades de las llamadas economías emergentes. Así, este artículo hace contribuciones importantes para la contaduría y la administración, en especial, se establecen herramientas teóricas para que los investigadores estudien la contabilidad y su incidencia en la gestión de las ciudades, desde la perspectiva de la gubernamentalidad, en aras de avanzar en este tópico que requiere de discusión en Latinoamérica para repensar las incidencias del cálculo contable y la gestión del ciudadano.","author":[{"dropping-particle":"","family":"Ocampo","given":"Carmen Alejandra","non-dropping-particle":"","parse-names":false,"suffix":""}],"container-title":"Cuadernos de Contabilidad","id":"ITEM-1","issue":"47","issued":{"date-parts":[["2018","12","5"]]},"page":"60-79","title":"Un panorama del efecto Foucault en contabilidad y gestión pública temáticas, autores y retos de investigación desde la gubernamentalidad","type":"article-journal","volume":"19"},"suppress-author":1,"uris":["http://www.mendeley.com/documents/?uuid=f0ed2016-8056-33c9-8ffc-e8440bb6727d"]}],"mendeley":{"formattedCitation":"(2018)","plainTextFormattedCitation":"(2018)","previouslyFormattedCitation":"(2018)"},"properties":{"noteIndex":0},"schema":"https://github.com/citation-style-language/schema/raw/master/csl-citation.json"}</w:instrText>
      </w:r>
      <w:r w:rsidR="00A800AF">
        <w:rPr>
          <w:rFonts w:cstheme="minorHAnsi"/>
        </w:rPr>
        <w:fldChar w:fldCharType="separate"/>
      </w:r>
      <w:r w:rsidR="00A800AF" w:rsidRPr="00A800AF">
        <w:rPr>
          <w:rFonts w:cstheme="minorHAnsi"/>
          <w:noProof/>
        </w:rPr>
        <w:t>(2018)</w:t>
      </w:r>
      <w:r w:rsidR="00A800AF">
        <w:rPr>
          <w:rFonts w:cstheme="minorHAnsi"/>
        </w:rPr>
        <w:fldChar w:fldCharType="end"/>
      </w:r>
      <w:r w:rsidR="00A800AF">
        <w:rPr>
          <w:rFonts w:cstheme="minorHAnsi"/>
        </w:rPr>
        <w:t xml:space="preserve"> </w:t>
      </w:r>
      <w:r w:rsidR="00DD70D5" w:rsidRPr="004C174D">
        <w:rPr>
          <w:rFonts w:cstheme="minorHAnsi"/>
        </w:rPr>
        <w:t xml:space="preserve">y </w:t>
      </w:r>
      <w:r w:rsidR="00A800AF">
        <w:rPr>
          <w:rFonts w:cstheme="minorHAnsi"/>
        </w:rPr>
        <w:t>amplía</w:t>
      </w:r>
      <w:r w:rsidR="00DD70D5" w:rsidRPr="004C174D">
        <w:rPr>
          <w:rFonts w:cstheme="minorHAnsi"/>
        </w:rPr>
        <w:t xml:space="preserve"> los referentes metodológicos </w:t>
      </w:r>
      <w:r>
        <w:rPr>
          <w:rFonts w:cstheme="minorHAnsi"/>
        </w:rPr>
        <w:t>enfocándose</w:t>
      </w:r>
      <w:r w:rsidR="00DD70D5" w:rsidRPr="004C174D">
        <w:rPr>
          <w:rFonts w:cstheme="minorHAnsi"/>
        </w:rPr>
        <w:t xml:space="preserve"> en la pertinencia del marco en el entorno colombiano, </w:t>
      </w:r>
      <w:r>
        <w:rPr>
          <w:rFonts w:cstheme="minorHAnsi"/>
        </w:rPr>
        <w:t>así</w:t>
      </w:r>
      <w:r w:rsidR="00DD70D5" w:rsidRPr="004C174D">
        <w:rPr>
          <w:rFonts w:cstheme="minorHAnsi"/>
        </w:rPr>
        <w:t>, se revisan síntesis teóricas</w:t>
      </w:r>
      <w:r>
        <w:rPr>
          <w:rFonts w:cstheme="minorHAnsi"/>
        </w:rPr>
        <w:t xml:space="preserve"> </w:t>
      </w:r>
      <w:r w:rsidR="00DD70D5" w:rsidRPr="004C174D">
        <w:rPr>
          <w:rFonts w:cstheme="minorHAnsi"/>
        </w:rPr>
        <w:t xml:space="preserve">en la búsqueda de coincidencias y divergencias.  Para ello, se </w:t>
      </w:r>
      <w:r>
        <w:rPr>
          <w:rFonts w:cstheme="minorHAnsi"/>
        </w:rPr>
        <w:t xml:space="preserve">combinan dos modalidades </w:t>
      </w:r>
      <w:r w:rsidR="00DD70D5" w:rsidRPr="004C174D">
        <w:rPr>
          <w:rFonts w:cstheme="minorHAnsi"/>
        </w:rPr>
        <w:t>de RSL,</w:t>
      </w:r>
      <w:r>
        <w:rPr>
          <w:rFonts w:cstheme="minorHAnsi"/>
        </w:rPr>
        <w:t xml:space="preserve"> la</w:t>
      </w:r>
      <w:r w:rsidR="00DD70D5" w:rsidRPr="004C174D">
        <w:rPr>
          <w:rFonts w:cstheme="minorHAnsi"/>
        </w:rPr>
        <w:t xml:space="preserve"> </w:t>
      </w:r>
      <w:proofErr w:type="spellStart"/>
      <w:r w:rsidR="007E0468">
        <w:rPr>
          <w:rFonts w:cstheme="minorHAnsi"/>
          <w:i/>
        </w:rPr>
        <w:t>Scoping</w:t>
      </w:r>
      <w:proofErr w:type="spellEnd"/>
      <w:r w:rsidR="007E0468">
        <w:rPr>
          <w:rFonts w:cstheme="minorHAnsi"/>
          <w:i/>
        </w:rPr>
        <w:t xml:space="preserve"> </w:t>
      </w:r>
      <w:proofErr w:type="spellStart"/>
      <w:r w:rsidR="007E0468">
        <w:rPr>
          <w:rFonts w:cstheme="minorHAnsi"/>
          <w:i/>
        </w:rPr>
        <w:t>Review</w:t>
      </w:r>
      <w:proofErr w:type="spellEnd"/>
      <w:r w:rsidR="007E0468">
        <w:rPr>
          <w:rFonts w:cstheme="minorHAnsi"/>
          <w:i/>
        </w:rPr>
        <w:t xml:space="preserve"> </w:t>
      </w:r>
      <w:r w:rsidR="007E0468">
        <w:rPr>
          <w:rFonts w:cstheme="minorHAnsi"/>
          <w:i/>
        </w:rPr>
        <w:fldChar w:fldCharType="begin" w:fldLock="1"/>
      </w:r>
      <w:r w:rsidR="0023715B">
        <w:rPr>
          <w:rFonts w:cstheme="minorHAnsi"/>
          <w:i/>
        </w:rPr>
        <w:instrText>ADDIN CSL_CITATION {"citationItems":[{"id":"ITEM-1","itemData":{"DOI":"10.1080/1364557032000119616","ISSN":"1364-5579","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framework","type":"article-journal","volume":"8"},"uris":["http://www.mendeley.com/documents/?uuid=a1b74fcb-e66a-415d-8024-a0b76ff7e807"]}],"mendeley":{"formattedCitation":"(Arksey y O’Malley, 2005)","plainTextFormattedCitation":"(Arksey y O’Malley, 2005)","previouslyFormattedCitation":"(Arksey y O’Malley, 2005)"},"properties":{"noteIndex":0},"schema":"https://github.com/citation-style-language/schema/raw/master/csl-citation.json"}</w:instrText>
      </w:r>
      <w:r w:rsidR="007E0468">
        <w:rPr>
          <w:rFonts w:cstheme="minorHAnsi"/>
          <w:i/>
        </w:rPr>
        <w:fldChar w:fldCharType="separate"/>
      </w:r>
      <w:r w:rsidR="0023715B" w:rsidRPr="0023715B">
        <w:rPr>
          <w:rFonts w:cstheme="minorHAnsi"/>
          <w:noProof/>
        </w:rPr>
        <w:t>(Arksey y O’Malley, 2005)</w:t>
      </w:r>
      <w:r w:rsidR="007E0468">
        <w:rPr>
          <w:rFonts w:cstheme="minorHAnsi"/>
          <w:i/>
        </w:rPr>
        <w:fldChar w:fldCharType="end"/>
      </w:r>
      <w:r w:rsidR="007E0468">
        <w:rPr>
          <w:rFonts w:cstheme="minorHAnsi"/>
          <w:i/>
        </w:rPr>
        <w:t xml:space="preserve"> y</w:t>
      </w:r>
      <w:r>
        <w:rPr>
          <w:rFonts w:cstheme="minorHAnsi"/>
          <w:iCs/>
        </w:rPr>
        <w:t xml:space="preserve"> la</w:t>
      </w:r>
      <w:r w:rsidR="00403C3D">
        <w:rPr>
          <w:rFonts w:cstheme="minorHAnsi"/>
        </w:rPr>
        <w:t xml:space="preserve"> </w:t>
      </w:r>
      <w:proofErr w:type="spellStart"/>
      <w:r w:rsidR="00F92DC3">
        <w:rPr>
          <w:rFonts w:cstheme="minorHAnsi"/>
          <w:i/>
          <w:iCs/>
        </w:rPr>
        <w:t>Umbrella</w:t>
      </w:r>
      <w:proofErr w:type="spellEnd"/>
      <w:r w:rsidR="00F92DC3">
        <w:rPr>
          <w:rFonts w:cstheme="minorHAnsi"/>
          <w:i/>
          <w:iCs/>
        </w:rPr>
        <w:t xml:space="preserve"> </w:t>
      </w:r>
      <w:proofErr w:type="spellStart"/>
      <w:r w:rsidR="00F92DC3">
        <w:rPr>
          <w:rFonts w:cstheme="minorHAnsi"/>
          <w:i/>
          <w:iCs/>
        </w:rPr>
        <w:t>Review</w:t>
      </w:r>
      <w:proofErr w:type="spellEnd"/>
      <w:r w:rsidR="00DD70D5" w:rsidRPr="004C174D">
        <w:rPr>
          <w:rFonts w:cstheme="minorHAnsi"/>
          <w:i/>
          <w:iCs/>
        </w:rPr>
        <w:t xml:space="preserve"> </w:t>
      </w:r>
      <w:r w:rsidR="00DD70D5" w:rsidRPr="004C174D">
        <w:rPr>
          <w:rFonts w:cstheme="minorHAnsi"/>
        </w:rPr>
        <w:fldChar w:fldCharType="begin" w:fldLock="1"/>
      </w:r>
      <w:r w:rsidR="0019663E">
        <w:rPr>
          <w:rFonts w:cstheme="minorHAnsi"/>
        </w:rPr>
        <w:instrText>ADDIN CSL_CITATION {"citationItems":[{"id":"ITEM-1","itemData":{"ISBN":"9781446242391","author":[{"dropping-particle":"","family":"Jesson","given":"J","non-dropping-particle":"","parse-names":false,"suffix":""},{"dropping-particle":"","family":"Matheson","given":"L","non-dropping-particle":"","parse-names":false,"suffix":""},{"dropping-particle":"","family":"Lacey","given":"F M","non-dropping-particle":"","parse-names":false,"suffix":""}],"id":"ITEM-1","issued":{"date-parts":[["2011"]]},"publisher":"SAGE Publications","title":"Doing Your Literature Review: Traditional and Systematic Techniques","type":"book"},"uris":["http://www.mendeley.com/documents/?uuid=5f2b6e0a-0ace-41f7-843d-856eb92d1935","http://www.mendeley.com/documents/?uuid=850c9f9f-b29c-4de0-8397-622693dc7eb9"]},{"id":"ITEM-2","itemData":{"DOI":"10.1097/XEB.0000000000000055","abstract":"Aims: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author":[{"dropping-particle":"","family":"Aromataris","given":"Edoardo","non-dropping-particle":"","parse-names":false,"suffix":""},{"dropping-particle":"","family":"Fernandez","given":"Ritin","non-dropping-particle":"","parse-names":false,"suffix":""},{"dropping-particle":"","family":"Godfrey","given":"Christina M.","non-dropping-particle":"","parse-names":false,"suffix":""},{"dropping-particle":"","family":"Holly","given":"Cheryl","non-dropping-particle":"","parse-names":false,"suffix":""},{"dropping-particle":"","family":"Khalil","given":"Hanan","non-dropping-particle":"","parse-names":false,"suffix":""},{"dropping-particle":"","family":"Tungpunkom","given":"Patraporn","non-dropping-particle":"","parse-names":false,"suffix":""}],"container-title":"International Journal of Evidence-Based Healthcare","id":"ITEM-2","issue":"3","issued":{"date-parts":[["2015","9","1"]]},"page":"132-140","publisher":"Lippincott Williams and Wilkins","title":"Summarizing systematic reviews: Methodological development, conduct and reporting of an umbrella review approach","type":"article-journal","volume":"13"},"uris":["http://www.mendeley.com/documents/?uuid=d2c5275d-83ef-4eee-9515-1874a576dde1","http://www.mendeley.com/documents/?uuid=739f078d-336b-4f3e-8609-749d5538f8d1"]}],"mendeley":{"formattedCitation":"(Aromataris et al., 2015b; Jesson et al., 2011)","plainTextFormattedCitation":"(Aromataris et al., 2015b; Jesson et al., 2011)","previouslyFormattedCitation":"(Aromataris et al., 2015b; Jesson et al., 2011)"},"properties":{"noteIndex":0},"schema":"https://github.com/citation-style-language/schema/raw/master/csl-citation.json"}</w:instrText>
      </w:r>
      <w:r w:rsidR="00DD70D5" w:rsidRPr="004C174D">
        <w:rPr>
          <w:rFonts w:cstheme="minorHAnsi"/>
        </w:rPr>
        <w:fldChar w:fldCharType="separate"/>
      </w:r>
      <w:r w:rsidR="0023715B" w:rsidRPr="0023715B">
        <w:rPr>
          <w:rFonts w:cstheme="minorHAnsi"/>
          <w:noProof/>
        </w:rPr>
        <w:t>(Aromataris et al., 2015b; Jesson et al., 2011)</w:t>
      </w:r>
      <w:r w:rsidR="00DD70D5" w:rsidRPr="004C174D">
        <w:rPr>
          <w:rFonts w:cstheme="minorHAnsi"/>
        </w:rPr>
        <w:fldChar w:fldCharType="end"/>
      </w:r>
      <w:r>
        <w:rPr>
          <w:rFonts w:cstheme="minorHAnsi"/>
        </w:rPr>
        <w:t>. S</w:t>
      </w:r>
      <w:r w:rsidR="00DD70D5" w:rsidRPr="004C174D">
        <w:rPr>
          <w:rFonts w:cstheme="minorHAnsi"/>
        </w:rPr>
        <w:t xml:space="preserve">e </w:t>
      </w:r>
      <w:r w:rsidR="00A800AF">
        <w:rPr>
          <w:rFonts w:cstheme="minorHAnsi"/>
        </w:rPr>
        <w:t>obtuvieron</w:t>
      </w:r>
      <w:r w:rsidR="00DD70D5" w:rsidRPr="004C174D">
        <w:rPr>
          <w:rFonts w:cstheme="minorHAnsi"/>
        </w:rPr>
        <w:t xml:space="preserve"> </w:t>
      </w:r>
      <w:r>
        <w:rPr>
          <w:rFonts w:cstheme="minorHAnsi"/>
        </w:rPr>
        <w:t>casi</w:t>
      </w:r>
      <w:r w:rsidR="00DD70D5" w:rsidRPr="004C174D">
        <w:rPr>
          <w:rFonts w:cstheme="minorHAnsi"/>
        </w:rPr>
        <w:t xml:space="preserve"> 550 artículos </w:t>
      </w:r>
      <w:r w:rsidR="00A800AF">
        <w:rPr>
          <w:rFonts w:cstheme="minorHAnsi"/>
        </w:rPr>
        <w:t>de</w:t>
      </w:r>
      <w:r w:rsidR="00DD70D5" w:rsidRPr="004C174D">
        <w:rPr>
          <w:rFonts w:cstheme="minorHAnsi"/>
        </w:rPr>
        <w:t xml:space="preserve"> acervo principal</w:t>
      </w:r>
      <w:r w:rsidR="006C7E8D">
        <w:rPr>
          <w:rFonts w:cstheme="minorHAnsi"/>
        </w:rPr>
        <w:t xml:space="preserve"> y </w:t>
      </w:r>
      <w:r w:rsidR="00A800AF">
        <w:rPr>
          <w:rFonts w:cstheme="minorHAnsi"/>
        </w:rPr>
        <w:t>7</w:t>
      </w:r>
      <w:r w:rsidR="006C7E8D">
        <w:rPr>
          <w:rFonts w:cstheme="minorHAnsi"/>
        </w:rPr>
        <w:t xml:space="preserve"> ejercicios de RSL</w:t>
      </w:r>
      <w:r w:rsidR="00DD70D5" w:rsidRPr="004C174D">
        <w:rPr>
          <w:rFonts w:cstheme="minorHAnsi"/>
        </w:rPr>
        <w:t xml:space="preserve">, </w:t>
      </w:r>
      <w:r w:rsidR="00A800AF">
        <w:rPr>
          <w:rFonts w:cstheme="minorHAnsi"/>
        </w:rPr>
        <w:t xml:space="preserve">con una clara </w:t>
      </w:r>
      <w:r w:rsidR="00A800AF" w:rsidRPr="004C174D">
        <w:rPr>
          <w:rFonts w:cstheme="minorHAnsi"/>
        </w:rPr>
        <w:t xml:space="preserve">mayoría </w:t>
      </w:r>
      <w:r w:rsidR="00A800AF">
        <w:rPr>
          <w:rFonts w:cstheme="minorHAnsi"/>
        </w:rPr>
        <w:t xml:space="preserve">de </w:t>
      </w:r>
      <w:r w:rsidR="00DD70D5" w:rsidRPr="004C174D">
        <w:rPr>
          <w:rFonts w:cstheme="minorHAnsi"/>
        </w:rPr>
        <w:t xml:space="preserve">producción académica anglófona, </w:t>
      </w:r>
      <w:r w:rsidR="00A800AF">
        <w:rPr>
          <w:rFonts w:cstheme="minorHAnsi"/>
        </w:rPr>
        <w:t>concentrada</w:t>
      </w:r>
      <w:r w:rsidR="00DD70D5" w:rsidRPr="004C174D">
        <w:rPr>
          <w:rFonts w:cstheme="minorHAnsi"/>
        </w:rPr>
        <w:t xml:space="preserve"> en los Journals </w:t>
      </w:r>
      <w:r w:rsidR="00DD70D5" w:rsidRPr="004C174D">
        <w:rPr>
          <w:rFonts w:cstheme="minorHAnsi"/>
          <w:i/>
          <w:iCs/>
        </w:rPr>
        <w:t xml:space="preserve">Critical Perspectives on Accounting </w:t>
      </w:r>
      <w:r w:rsidR="00DD70D5" w:rsidRPr="004C174D">
        <w:rPr>
          <w:rFonts w:cstheme="minorHAnsi"/>
        </w:rPr>
        <w:t xml:space="preserve">y </w:t>
      </w:r>
      <w:r w:rsidR="00DD70D5" w:rsidRPr="004C174D">
        <w:rPr>
          <w:rFonts w:cstheme="minorHAnsi"/>
          <w:i/>
          <w:iCs/>
        </w:rPr>
        <w:t>Accounting, Organizations and Society</w:t>
      </w:r>
      <w:r w:rsidR="00DD70D5" w:rsidRPr="004C174D">
        <w:rPr>
          <w:rFonts w:cstheme="minorHAnsi"/>
        </w:rPr>
        <w:t xml:space="preserve">, </w:t>
      </w:r>
      <w:r w:rsidR="006C7E8D">
        <w:rPr>
          <w:rFonts w:cstheme="minorHAnsi"/>
        </w:rPr>
        <w:t xml:space="preserve">y destinada a los </w:t>
      </w:r>
      <w:r w:rsidR="00A800AF">
        <w:rPr>
          <w:rFonts w:cstheme="minorHAnsi"/>
        </w:rPr>
        <w:t>subtemas</w:t>
      </w:r>
      <w:r w:rsidR="006C7E8D">
        <w:rPr>
          <w:rFonts w:cstheme="minorHAnsi"/>
        </w:rPr>
        <w:t xml:space="preserve"> </w:t>
      </w:r>
      <w:r w:rsidR="00A800AF">
        <w:rPr>
          <w:rFonts w:cstheme="minorHAnsi"/>
        </w:rPr>
        <w:t xml:space="preserve">de </w:t>
      </w:r>
      <w:r w:rsidR="00A800AF" w:rsidRPr="00A800AF">
        <w:rPr>
          <w:rFonts w:cstheme="minorHAnsi"/>
          <w:i/>
          <w:iCs/>
        </w:rPr>
        <w:t xml:space="preserve">poder en general, relaciones de saber-poder y </w:t>
      </w:r>
      <w:proofErr w:type="spellStart"/>
      <w:r w:rsidR="00A800AF" w:rsidRPr="00A800AF">
        <w:rPr>
          <w:rFonts w:cstheme="minorHAnsi"/>
          <w:i/>
          <w:iCs/>
        </w:rPr>
        <w:t>gubernamentabilidad</w:t>
      </w:r>
      <w:proofErr w:type="spellEnd"/>
      <w:r w:rsidR="00A800AF">
        <w:rPr>
          <w:rFonts w:cstheme="minorHAnsi"/>
          <w:i/>
          <w:iCs/>
        </w:rPr>
        <w:t>.</w:t>
      </w:r>
    </w:p>
    <w:p w14:paraId="140E94FE" w14:textId="26879240" w:rsidR="00DD70D5" w:rsidRPr="00E26E72" w:rsidRDefault="00906031" w:rsidP="00DD70D5">
      <w:pPr>
        <w:pStyle w:val="Ttulo1"/>
        <w:rPr>
          <w:rFonts w:asciiTheme="minorHAnsi" w:hAnsiTheme="minorHAnsi" w:cstheme="minorBidi"/>
          <w:sz w:val="24"/>
          <w:szCs w:val="24"/>
          <w:lang w:eastAsia="es-ES"/>
        </w:rPr>
      </w:pPr>
      <w:bookmarkStart w:id="2" w:name="_Toc26832210"/>
      <w:bookmarkStart w:id="3" w:name="_Toc87892825"/>
      <w:r w:rsidRPr="00E26E72">
        <w:rPr>
          <w:rFonts w:asciiTheme="minorHAnsi" w:hAnsiTheme="minorHAnsi" w:cstheme="minorBidi"/>
          <w:sz w:val="24"/>
          <w:szCs w:val="24"/>
          <w:lang w:eastAsia="es-ES"/>
        </w:rPr>
        <w:t>PALABRAS CLAVE</w:t>
      </w:r>
      <w:bookmarkEnd w:id="2"/>
      <w:bookmarkEnd w:id="3"/>
    </w:p>
    <w:p w14:paraId="6B5DD090" w14:textId="3F0ABB4C" w:rsidR="00B8435B" w:rsidRPr="00A800AF" w:rsidRDefault="00B8435B" w:rsidP="00B8435B">
      <w:pPr>
        <w:rPr>
          <w:sz w:val="21"/>
          <w:szCs w:val="21"/>
          <w:lang w:eastAsia="es-ES"/>
        </w:rPr>
      </w:pPr>
      <w:r w:rsidRPr="00A800AF">
        <w:rPr>
          <w:sz w:val="21"/>
          <w:szCs w:val="21"/>
          <w:lang w:eastAsia="es-ES"/>
        </w:rPr>
        <w:t>Contabilidad</w:t>
      </w:r>
      <w:r w:rsidR="00A800AF" w:rsidRPr="00A800AF">
        <w:rPr>
          <w:sz w:val="21"/>
          <w:szCs w:val="21"/>
          <w:lang w:eastAsia="es-ES"/>
        </w:rPr>
        <w:t xml:space="preserve"> crítica</w:t>
      </w:r>
      <w:r w:rsidRPr="00A800AF">
        <w:rPr>
          <w:sz w:val="21"/>
          <w:szCs w:val="21"/>
          <w:lang w:eastAsia="es-ES"/>
        </w:rPr>
        <w:t>, Teoría Contable, Perspectiva Teórica, Tradición de Investigación, Michel Foucault.</w:t>
      </w:r>
    </w:p>
    <w:p w14:paraId="668BBC34" w14:textId="118DFB1F" w:rsidR="00DD70D5" w:rsidRPr="00E26E72" w:rsidRDefault="00906031" w:rsidP="00BB5444">
      <w:pPr>
        <w:pStyle w:val="Ttulo1"/>
        <w:numPr>
          <w:ilvl w:val="0"/>
          <w:numId w:val="9"/>
        </w:numPr>
        <w:rPr>
          <w:rFonts w:asciiTheme="minorHAnsi" w:hAnsiTheme="minorHAnsi" w:cstheme="minorHAnsi"/>
          <w:sz w:val="24"/>
          <w:szCs w:val="24"/>
          <w:lang w:eastAsia="es-ES_tradnl"/>
        </w:rPr>
      </w:pPr>
      <w:bookmarkStart w:id="4" w:name="_Toc26832211"/>
      <w:bookmarkStart w:id="5" w:name="_Toc87892826"/>
      <w:r w:rsidRPr="00E26E72">
        <w:rPr>
          <w:rFonts w:asciiTheme="minorHAnsi" w:hAnsiTheme="minorHAnsi" w:cstheme="minorHAnsi"/>
          <w:sz w:val="24"/>
          <w:szCs w:val="24"/>
          <w:lang w:eastAsia="es-ES_tradnl"/>
        </w:rPr>
        <w:t>INTRODUCCIÓN</w:t>
      </w:r>
      <w:bookmarkEnd w:id="4"/>
      <w:bookmarkEnd w:id="5"/>
      <w:r w:rsidRPr="00E26E72">
        <w:rPr>
          <w:rFonts w:asciiTheme="minorHAnsi" w:hAnsiTheme="minorHAnsi" w:cstheme="minorHAnsi"/>
          <w:sz w:val="24"/>
          <w:szCs w:val="24"/>
          <w:lang w:eastAsia="es-ES_tradnl"/>
        </w:rPr>
        <w:t xml:space="preserve"> </w:t>
      </w:r>
    </w:p>
    <w:p w14:paraId="537EA4A3" w14:textId="0850E200" w:rsidR="00403C3D" w:rsidRPr="00587429" w:rsidRDefault="00403C3D" w:rsidP="00DD70D5">
      <w:pPr>
        <w:spacing w:before="100" w:beforeAutospacing="1" w:after="100" w:afterAutospacing="1"/>
        <w:jc w:val="both"/>
        <w:rPr>
          <w:rFonts w:cstheme="minorHAnsi"/>
          <w:lang w:val="en-US"/>
        </w:rPr>
      </w:pPr>
      <w:r>
        <w:rPr>
          <w:rFonts w:cstheme="minorHAnsi"/>
        </w:rPr>
        <w:t xml:space="preserve">Desde la década de 1980 se </w:t>
      </w:r>
      <w:r w:rsidR="00A800AF">
        <w:rPr>
          <w:rFonts w:cstheme="minorHAnsi"/>
        </w:rPr>
        <w:t>registra el</w:t>
      </w:r>
      <w:r>
        <w:rPr>
          <w:rFonts w:cstheme="minorHAnsi"/>
        </w:rPr>
        <w:t xml:space="preserve"> uso del marco foucaultiano en la investigación contable, trabajos pioneros en el contexto anglosajón dan cuenta de una difusión y aceptación de este referente en las discusiones y orígenes de las perspectivas alternativas en contabilidad </w:t>
      </w:r>
      <w:r>
        <w:rPr>
          <w:rFonts w:cstheme="minorHAnsi"/>
        </w:rPr>
        <w:fldChar w:fldCharType="begin" w:fldLock="1"/>
      </w:r>
      <w:r w:rsidR="0023715B">
        <w:rPr>
          <w:rFonts w:cstheme="minorHAnsi"/>
        </w:rPr>
        <w:instrText>ADDIN CSL_CITATION {"citationItems":[{"id":"ITEM-1","itemData":{"DOI":"10.1016/0361-3682(80)90017-3","ISSN":"03613682","abstract":"The paper seeks to contrast the roles that have been claimed on behalf of accounting with the ways in which accounting functions in practice. It starts by examining the context in which rationales for practice are articulated and the adequacy of such claims. Thereafter consideration is given to how accounting is implicated in both organizational and social practice. The paper concludes with a discussion of the implications for accounting research. © 1980.","author":[{"dropping-particle":"","family":"Burchell","given":"Stuart","non-dropping-particle":"","parse-names":false,"suffix":""},{"dropping-particle":"","family":"Clubb","given":"Colin","non-dropping-particle":"","parse-names":false,"suffix":""},{"dropping-particle":"","family":"Hopwood","given":"Anthony","non-dropping-particle":"","parse-names":false,"suffix":""},{"dropping-particle":"","family":"Hughes","given":"John","non-dropping-particle":"","parse-names":false,"suffix":""},{"dropping-particle":"","family":"Nahapiet","given":"Janine","non-dropping-particle":"","parse-names":false,"suffix":""}],"container-title":"Accounting, Organizations and Society","id":"ITEM-1","issue":"1","issued":{"date-parts":[["1980"]]},"page":"5-27","title":"The roles of accounting in organizations and society","type":"article-journal","volume":"5"},"uris":["http://www.mendeley.com/documents/?uuid=b1a50dc8-00a0-3724-86a0-fb82f5d4eae4"]},{"id":"ITEM-2","itemData":{"DOI":"10.1016/0361-3682(85)90002-9","ISSN":"0361-3682","abstract":"Although the relationship between accounting and society has been posited frequently, it has been subjected to little systematic analysis. This paper reviews some existing theories of the social nature of accounting practice and, by so doing, identifies a number of significant conceptual problems. Using the case of the rise of interest in value added accounting in the United Kingdom in the 1970s, the paper conducts a social analysis of this particular event and then seeks to draw out the theoretical issues and problems which emerge from this exercise. Finally, the implications of these for the social analysis of accounting are discussed.","author":[{"dropping-particle":"","family":"Burchell","given":"Stuart","non-dropping-particle":"","parse-names":false,"suffix":""},{"dropping-particle":"","family":"Clubb","given":"Colin","non-dropping-particle":"","parse-names":false,"suffix":""},{"dropping-particle":"","family":"Hopwood","given":"Anthony G.","non-dropping-particle":"","parse-names":false,"suffix":""}],"container-title":"Accounting, Organizations and Society","id":"ITEM-2","issue":"4","issued":{"date-parts":[["1985","1","1"]]},"page":"381-413","publisher":"Pergamon","title":"Accounting in its social context: Towards a history of value added in the United Kingdom","type":"article-journal","volume":"10"},"uris":["http://www.mendeley.com/documents/?uuid=1b5a64bc-20d0-393d-a794-948e19c56087"]},{"id":"ITEM-3","itemData":{"ISBN":"9780367511159","author":[{"dropping-particle":"","family":"Loft","given":"Anne","non-dropping-particle":"","parse-names":false,"suffix":""}],"collection-title":"Routledge Library Editions: Accounting History","id":"ITEM-3","issued":{"date-parts":[["1986","1","1"]]},"note":"From Duplicate 1 (Understanding accounting in its social history and historical context : the case of cost accounting in Britain 1914-1925 - Loft, Anne)\n\nAccession Number: edsble.288050; Publication Type: Dissertation; Language: English; Publication Date: 19860101; Imprint: University of London, 1986.","publisher":"Taylor &amp; Francis Group","title":"Understanding Accounting in Its Social and Historical Context: The Case of Cost Accounting in Britain, 1914-1925","type":"book"},"uris":["http://www.mendeley.com/documents/?uuid=bf9ae1cb-72ed-4429-8fa5-81992c723fe2"]},{"id":"ITEM-4","itemData":{"author":[{"dropping-particle":"","family":"Loft","given":"Anne","non-dropping-particle":"","parse-names":false,"suffix":""}],"container-title":"The Real Life Guide to Accounting Research","id":"ITEM-4","issued":{"date-parts":[["2007"]]},"page":"95-117","publisher":"Elsevier","title":"‘Nice work’: writing a Ph. D. thesis in accounting","type":"chapter"},"uris":["http://www.mendeley.com/documents/?uuid=04fade9f-b397-42d1-93a3-329437abffa7"]},{"id":"ITEM-5","itemData":{"ISSN":"0361-3682","author":[{"dropping-particle":"","family":"Hopwood","given":"Anthony G","non-dropping-particle":"","parse-names":false,"suffix":""}],"container-title":"Accounting, organizations and society","id":"ITEM-5","issue":"3","issued":{"date-parts":[["1987"]]},"page":"207-234","publisher":"Elsevier","title":"The archeology of accounting systems","type":"article-journal","volume":"12"},"uris":["http://www.mendeley.com/documents/?uuid=90c412dc-c997-4d0d-bcd5-b4a971eb2a8a"]},{"id":"ITEM-6","itemData":{"DOI":"https://doi.org/10.1080/09638180500041364","ISSN":"0963-8180","author":[{"dropping-particle":"","family":"Gendron","given":"Yves","non-dropping-particle":"","parse-names":false,"suffix":""},{"dropping-particle":"","family":"Baker","given":"C Richard","non-dropping-particle":"","parse-names":false,"suffix":""}],"container-title":"European accounting review","id":"ITEM-6","issue":"3","issued":{"date-parts":[["2005"]]},"page":"525-569","publisher":"Taylor &amp; Francis","title":"On interdisciplinary movements: The development of a network of support around Foucaultian perspectives in accounting research","type":"article-journal","volume":"14"},"uris":["http://www.mendeley.com/documents/?uuid=8b1cb946-146f-4945-95bf-d9974dcc0088"]},{"id":"ITEM-7","itemData":{"DOI":"10.1016/0361-3682(88)90025-6","ISSN":"0361-3682","abstract":"We focus on the genesis of the new managerialism in U.S. business and factories in the nineteenth century and re-examine the published histories of the U.S. armories and the railroads. We trace the influence in both arenas of the engineering/military graduates from the U.S. Military Academy at West Point, who represent and reproduce the meticulous “grammatocentric” and “panoptic” system for human accountability introduced there in the years after 1817. Our overall concern is to re-analyse apparently economic-rational changes in accounting and accountability in a wider frame which explains their development as aspects of a general shift in power-knowledge relations—a shift which Foucault characterised as the development of disciplinary power and which we argue originated in elite educational institutions. We propose further examination (or re-examination) of the original accounting and administrative records relating to the armories and the railroads in order to establish the precise process of historical change.","author":[{"dropping-particle":"","family":"Hoskin","given":"Keith","non-dropping-particle":"","parse-names":false,"suffix":""},{"dropping-particle":"","family":"Macve","given":"Richard","non-dropping-particle":"","parse-names":false,"suffix":""}],"container-title":"Accounting, Organizations and Society","id":"ITEM-7","issue":"1","issued":{"date-parts":[["1988","1","1"]]},"page":"37-73","publisher":"Pergamon","title":"The genesis of accountability: The west point connections","type":"article-journal","volume":"13"},"uris":["http://www.mendeley.com/documents/?uuid=863c7091-98ee-3734-9e99-730034b5cc6c"]},{"id":"ITEM-8","itemData":{"ISBN":"0415279461","abstract":"Drawing upon the</w:instrText>
      </w:r>
      <w:r w:rsidR="0023715B" w:rsidRPr="0023715B">
        <w:rPr>
          <w:rFonts w:cstheme="minorHAnsi"/>
          <w:lang w:val="en-US"/>
        </w:rPr>
        <w:instrText xml:space="preserve"> work of eminent thinkers such as Barthes, Baudrillard, Derrida, Foucault, Lyotard and Bahktin, Macintosh develops revolutionary insights into the introduction of contemporary poststructuralist ideas into accounting theory. 1. Introduction -- 2. Structuralism and poststructuralism -- 3. Literary theory and accounting -- 4. Simulacra and hyperreality -- 5. Surveillance, discipline, and punishment -- 6. Accounting and truth -- 7. Heteroglossic accounting.","author":[{"dropping-particle":"","family":"Macintosh","given":"Norman B.","non-dropping-particle":"","parse-names":false,"suffix":""}],"id":"ITEM-8","issued":{"date-parts":[["2002"]]},"number-of-pages":"165","publisher":"Routledge","publisher-place":"London","title":"Accounting, accountants and accountability : poststructuralist positions","type":"book"},"uris":["http://www.mendeley.com/documents/?uuid=939cc91c-e067-35a7-9cae-48df8bce9dca"]}],"mendeley":{"formattedCitation":"(Burchell et al., 1980, 1985; Gendron y Baker, 2005; Hopwood, 1987; Hoskin y Macve, 1988; Loft, 1986, 2007; Macintosh, 2002)","plainTextFormattedCitation":"(Burchell et al., 1980, 1985; Gendron y Baker, 2005; Hopwood, 1987; Hoskin y Macve, 1988; Loft, 1986, 2007; Macintosh, 2002)","previouslyFormattedCitation":"(Burchell et al., 1980, 1985; Gendron y Baker, 2005; Hopwood, 1987; Hoskin y Macve, 1988; Loft, 1986, 2007; Macintosh, 2002)"},"properties":{"noteIndex":0},"schema":"https://github.com/citation-style-language/schema/raw/master/csl-citation.json"}</w:instrText>
      </w:r>
      <w:r>
        <w:rPr>
          <w:rFonts w:cstheme="minorHAnsi"/>
        </w:rPr>
        <w:fldChar w:fldCharType="separate"/>
      </w:r>
      <w:r w:rsidR="0023715B" w:rsidRPr="0023715B">
        <w:rPr>
          <w:rFonts w:cstheme="minorHAnsi"/>
          <w:noProof/>
          <w:lang w:val="en-US"/>
        </w:rPr>
        <w:t>(Burchell et al., 1980, 1985; Gendron y Baker, 2005; Hopwood, 1987; Hoskin y Macve, 1988; Loft, 1986, 2007; Macintosh, 2002)</w:t>
      </w:r>
      <w:r>
        <w:rPr>
          <w:rFonts w:cstheme="minorHAnsi"/>
        </w:rPr>
        <w:fldChar w:fldCharType="end"/>
      </w:r>
      <w:r w:rsidR="00587429" w:rsidRPr="00587429">
        <w:rPr>
          <w:rFonts w:cstheme="minorHAnsi"/>
          <w:lang w:val="en-US"/>
        </w:rPr>
        <w:t>.</w:t>
      </w:r>
    </w:p>
    <w:p w14:paraId="19C0021E" w14:textId="0789B89D" w:rsidR="00DD70D5" w:rsidRDefault="00DD70D5" w:rsidP="00DD70D5">
      <w:pPr>
        <w:spacing w:before="100" w:beforeAutospacing="1" w:after="100" w:afterAutospacing="1"/>
        <w:jc w:val="both"/>
      </w:pPr>
      <w:r w:rsidRPr="5AE88A33">
        <w:t>En la</w:t>
      </w:r>
      <w:r w:rsidR="00587429" w:rsidRPr="5AE88A33">
        <w:t xml:space="preserve">s </w:t>
      </w:r>
      <w:r w:rsidRPr="5AE88A33">
        <w:t>caracterizaci</w:t>
      </w:r>
      <w:r w:rsidR="00587429" w:rsidRPr="5AE88A33">
        <w:t>ones</w:t>
      </w:r>
      <w:r w:rsidRPr="5AE88A33">
        <w:t xml:space="preserve"> de la investigación contable </w:t>
      </w:r>
      <w:r w:rsidR="00A800AF">
        <w:t>se identifican</w:t>
      </w:r>
      <w:r w:rsidRPr="5AE88A33">
        <w:t xml:space="preserve"> tres grandes </w:t>
      </w:r>
      <w:r w:rsidR="00E2554B">
        <w:t>perspectivas</w:t>
      </w:r>
      <w:r w:rsidRPr="5AE88A33">
        <w:t xml:space="preserve">: </w:t>
      </w:r>
      <w:r w:rsidRPr="00A70173">
        <w:rPr>
          <w:i/>
          <w:iCs/>
        </w:rPr>
        <w:t>la funcional, la interpretativa y la</w:t>
      </w:r>
      <w:r w:rsidR="00403C3D" w:rsidRPr="00A70173">
        <w:rPr>
          <w:i/>
          <w:iCs/>
        </w:rPr>
        <w:t xml:space="preserve"> </w:t>
      </w:r>
      <w:r w:rsidRPr="00A70173">
        <w:rPr>
          <w:i/>
          <w:iCs/>
        </w:rPr>
        <w:t>crítica</w:t>
      </w:r>
      <w:r w:rsidR="5AE88A33" w:rsidRPr="5AE88A33">
        <w:t>. En</w:t>
      </w:r>
      <w:r w:rsidRPr="5AE88A33">
        <w:t xml:space="preserve"> estas </w:t>
      </w:r>
      <w:r w:rsidR="00E2554B">
        <w:t xml:space="preserve"> dos </w:t>
      </w:r>
      <w:r w:rsidRPr="5AE88A33">
        <w:t xml:space="preserve">últimas, se </w:t>
      </w:r>
      <w:r w:rsidR="00403C3D" w:rsidRPr="5AE88A33">
        <w:t xml:space="preserve">ha </w:t>
      </w:r>
      <w:r w:rsidR="222B7564" w:rsidRPr="222B7564">
        <w:t>incluido</w:t>
      </w:r>
      <w:r w:rsidRPr="5AE88A33">
        <w:t xml:space="preserve"> el marco de Foucault </w:t>
      </w:r>
      <w:r w:rsidRPr="5AE88A33">
        <w:fldChar w:fldCharType="begin" w:fldLock="1"/>
      </w:r>
      <w:r w:rsidRPr="5AE88A33">
        <w:instrText>ADDIN CSL_CITATION {"citationItems":[{"id":"ITEM-1","itemData":{"ISSN":"00014826","abstract":"ABSTRACT: Mainstream accounting is grounded in a common set of philosophical assumptions about knowledge, the empirical world, and the relationship between theory and practice. This particular world-view, with its emphasis on hypothetico-deductivism and technical control, possesses certain strengths but has restricted the range of problems studied and the use of research methods. By changing this set of assumptions, fundamentally different and potentially rich research insights are obtained. Two alternative world-views and their underlying assumptions am elucidated-the interpretive and the critical. The consequences of conducting research within these philosophical traditions are discussed via a comparison between accounting research that is conducted on the \"same\" problem but from two different perspectives. In addition, some of the difficulties associated with these alternative perspectives are briefly dealt with. ABSTRACT FROM AUTHOR]; Copyright of Accounting Review is the property of American Accounting Association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Abstracts.)","author":[{"dropping-particle":"","family":"Chua","given":"Wai Fong","non-dropping-particle":"","parse-names":false,"suffix":""}],"container-title":"Accounting Review","id":"ITEM-1","issue":"4","issued":{"date-parts":[["1986"]]},"page":"601","title":"Radical Developments in Accounting Thought","type":"article-journal","volume":"61"},"uris":["http://www.mendeley.com/documents/?uuid=4052c532-188a-4ff4-a77e-a10acfeda92f"]}],"mendeley":{"formattedCitation":"(Chua, 1986)","plainTextFormattedCitation":"(Chua, 1986)","previouslyFormattedCitation":"(Chua, 1986)"},"properties":{"noteIndex":0},"schema":"https://github.com/citation-style-language/schema/raw/master/csl-citation.json"}</w:instrText>
      </w:r>
      <w:r w:rsidRPr="5AE88A33">
        <w:fldChar w:fldCharType="separate"/>
      </w:r>
      <w:r w:rsidRPr="5AE88A33">
        <w:rPr>
          <w:noProof/>
        </w:rPr>
        <w:t>(Chua, 1986)</w:t>
      </w:r>
      <w:r w:rsidRPr="5AE88A33">
        <w:fldChar w:fldCharType="end"/>
      </w:r>
      <w:r w:rsidR="222B7564" w:rsidRPr="222B7564">
        <w:t>. En</w:t>
      </w:r>
      <w:r w:rsidRPr="5AE88A33">
        <w:t xml:space="preserve"> español, se reconoció la importancia del marco foucaultiano en la investigación contable, denominándolo </w:t>
      </w:r>
      <w:r w:rsidR="00A800AF">
        <w:t xml:space="preserve">como </w:t>
      </w:r>
      <w:r w:rsidRPr="5AE88A33">
        <w:t xml:space="preserve">los </w:t>
      </w:r>
      <w:r w:rsidRPr="00A800AF">
        <w:rPr>
          <w:i/>
          <w:iCs/>
        </w:rPr>
        <w:t>estudios del poder</w:t>
      </w:r>
      <w:r w:rsidRPr="5AE88A33">
        <w:t xml:space="preserve"> en contabilidad </w:t>
      </w:r>
      <w:r w:rsidRPr="5AE88A33">
        <w:fldChar w:fldCharType="begin" w:fldLock="1"/>
      </w:r>
      <w:r w:rsidRPr="5AE88A33">
        <w:instrText>ADDIN CSL_CITATION {"citationItems":[{"id":"ITEM-1","itemData":{"ISSN":"1138-4891","abstract":"First issue preceded by: Vol. 0, no. 0 (enero/dic. 1997).","author":[{"dropping-particle":"","family":"Larrinaga","given":"Carlos","non-dropping-particle":"","parse-names":false,"suffix":""}],"container-title":"Revista española de contabilidad","id":"ITEM-1","issue":"3","issued":{"date-parts":[["1999"]]},"page":"103-132","publisher":"Asociación Española de Profesores Universitarios de Contabilidad","title":"Perspectivas alternativas de investigación en contabilidad: una revisión","type":"article-journal","volume":"2"},"uris":["http://www.mendeley.com/documents/?uuid=658eb254-7d18-362b-9f7f-c56951d5a8f4"]}],"mendeley":{"formattedCitation":"(Larrinaga, 1999)","plainTextFormattedCitation":"(Larrinaga, 1999)","previouslyFormattedCitation":"(Larrinaga, 1999)"},"properties":{"noteIndex":0},"schema":"https://github.com/citation-style-language/schema/raw/master/csl-citation.json"}</w:instrText>
      </w:r>
      <w:r w:rsidRPr="5AE88A33">
        <w:fldChar w:fldCharType="separate"/>
      </w:r>
      <w:r w:rsidRPr="5AE88A33">
        <w:rPr>
          <w:noProof/>
        </w:rPr>
        <w:t>(Larrinaga, 1999)</w:t>
      </w:r>
      <w:r w:rsidRPr="5AE88A33">
        <w:fldChar w:fldCharType="end"/>
      </w:r>
      <w:r w:rsidRPr="5AE88A33">
        <w:t xml:space="preserve">.  Actualmente, el refinamiento de lo que </w:t>
      </w:r>
      <w:r w:rsidR="00A800AF">
        <w:t>se clasifica como</w:t>
      </w:r>
      <w:r w:rsidRPr="5AE88A33">
        <w:t xml:space="preserve"> corrientes heterodoxas y alternativas ha provocado nuevas </w:t>
      </w:r>
      <w:r w:rsidR="00A70173">
        <w:t>categorías</w:t>
      </w:r>
      <w:r w:rsidRPr="5AE88A33">
        <w:t xml:space="preserve">, entre las que se incluye la </w:t>
      </w:r>
      <w:r w:rsidRPr="00A800AF">
        <w:rPr>
          <w:i/>
          <w:iCs/>
        </w:rPr>
        <w:t>foucaultiana</w:t>
      </w:r>
      <w:r w:rsidRPr="5AE88A33">
        <w:t xml:space="preserve"> </w:t>
      </w:r>
      <w:r w:rsidRPr="5AE88A33">
        <w:fldChar w:fldCharType="begin" w:fldLock="1"/>
      </w:r>
      <w:r w:rsidR="0023715B">
        <w:instrText>ADDIN CSL_CITATION {"citationItems":[{"id":"ITEM-1","itemData":{"DOI":"10.1016/S0361-3682(02)00022-3","ISBN":"0361-3682","ISSN":"03613682","PMID":"18786357","abstract":"This paper reviews alternative management accounting research in AOS from 1976 until 1999. We highlight seven different research perspectives that have flourished under this label: a non-rational design school; naturalistic research; the radical alternative; institutional theory; structuration theory; a Foucauldian approach; and a Latourian approach. It is contended that these different approaches have assumed an important role in raising a number of significant and interesting disciplinary insights. As a form of collective non-positivist enterprise, alternative management accounting research has demonstrated: the many different rationalities of management accounting practice; the variety of ways in which management accounting practice is enacted and given meaning; the potency of management accounting technologies; the unpredictable, non-linear and socially-embedded nature of management accounting change; and the ways in which management accounting practice is both constrained and enabled by the bodily habitudes of its exponents. In conclusion, we consider how alternative management accounting research may sustain its distinct contributions in the future. © 2002 Elsevier Science Ltd. All rights reserved.","author":[{"dropping-particle":"","family":"Baxter","given":"Jane","non-dropping-particle":"","parse-names":false,"suffix":""},{"dropping-particle":"","family":"Chua","given":"Wai Fong","non-dropping-particle":"","parse-names":false,"suffix":""}],"container-title":"Accounting, Organizations and Society","id":"ITEM-1","issue":"2-3","issued":{"date-parts":[["2003"]]},"page":"97-126","publisher":"Pergamon","title":"Alternative management accounting research - Whence and whither","type":"article-journal","volume":"28"},"uris":["http://www.mendeley.com/documents/?uuid=259056ed-76fe-361c-8bae-8416aa1450ec"]}],"mendeley":{"formattedCitation":"(Baxter y Chua, 2003)","plainTextFormattedCitation":"(Baxter y Chua, 2003)","previouslyFormattedCitation":"(Baxter y Chua, 2003)"},"properties":{"noteIndex":0},"schema":"https://github.com/citation-style-language/schema/raw/master/csl-citation.json"}</w:instrText>
      </w:r>
      <w:r w:rsidRPr="5AE88A33">
        <w:fldChar w:fldCharType="separate"/>
      </w:r>
      <w:r w:rsidR="0023715B" w:rsidRPr="0023715B">
        <w:rPr>
          <w:noProof/>
        </w:rPr>
        <w:t>(Baxter y Chua, 2003)</w:t>
      </w:r>
      <w:r w:rsidRPr="5AE88A33">
        <w:fldChar w:fldCharType="end"/>
      </w:r>
      <w:r w:rsidRPr="5AE88A33">
        <w:t>.</w:t>
      </w:r>
    </w:p>
    <w:p w14:paraId="1A1D3176" w14:textId="48C0D451" w:rsidR="00403C3D" w:rsidRPr="004C174D" w:rsidRDefault="00403C3D" w:rsidP="00DD70D5">
      <w:pPr>
        <w:spacing w:before="100" w:beforeAutospacing="1" w:after="100" w:afterAutospacing="1"/>
        <w:jc w:val="both"/>
        <w:rPr>
          <w:rFonts w:cstheme="minorHAnsi"/>
        </w:rPr>
      </w:pPr>
      <w:r>
        <w:rPr>
          <w:rFonts w:cstheme="minorHAnsi"/>
        </w:rPr>
        <w:t xml:space="preserve">Adicionalmente, se han desarrollado estudios sobre las relaciones entre teoría social e investigación contable </w:t>
      </w:r>
      <w:r>
        <w:rPr>
          <w:rFonts w:cstheme="minorHAnsi"/>
        </w:rPr>
        <w:fldChar w:fldCharType="begin" w:fldLock="1"/>
      </w:r>
      <w:r w:rsidR="0023715B">
        <w:rPr>
          <w:rFonts w:cstheme="minorHAnsi"/>
        </w:rPr>
        <w:instrText>ADDIN CSL_CITATION {"citationItems":[{"id":"ITEM-1","itemData":{"ISBN":"9781317328308","author":[{"dropping-particle":"","family":"Jack","given":"L","non-dropping-particle":"","parse-names":false,"suffix":""}],"id":"ITEM-1","issued":{"date-parts":[["2016"]]},"publisher":"Taylor &amp; Francis","title":"Accounting and Social Theory: An introduction","type":"book"},"uris":["http://www.mendeley.com/documents/?uuid=638e8824-5456-4f21-91d2-87e786ba93eb"]},{"id":"ITEM-2","itemData":{"ISBN":"9781315775203","abstract":"Foreword / David Cooper -- Introduction / Robin Roslender -- Interpretivism / Chandana Allawattage and Danture Wickramasinghe -- Structural marxism / Robin Roslender -- Critical theory / Sonja Gallhofer and Jim Haslam -- Philosophical traditions / Glen Lehman -- Foucault / David Knights and Peter Bloom -- Bourdieu / Jeff Everett -- Accountancy profession / Alan Richardson -- Auditing / Richard Baker -- Ethics / Paul Williams -- Regulation / Lisa Baudot and Keith Robson -- Colonisation / Jane Broadbent and Richard Laughlin -- Accountability / John Roberts -- Sea / Rob Gray, Carol Adams and David Owen -- Emerging economies / Trevor Hopper and Farzana Tanima -- Governance / Lee Parker -- Financialization / Colin Haslam and Nick Tstsianis and George Katechos -- Globalization / Cameron Graeme -- Pop culture / Ingrid Jeacle -- Accounting history / Richard Fleischman, Thomas Tyson and David Oldroyd -- Accounting education / Gordon Boyce -- Organisation studies / Chris Carter and Alan McKinlay -- Finance / Elton McGoun -- Essays on the future for critical accounting -- Sustainability is the new critical? / Judy Brown and Jesse Dillard -- Actor-network theory and critical accounting research / Jane Baxter and Wai Fong Chua -- Critical realism / Sven Modell.","author":[{"dropping-particle":"","family":"Roslender","given":"Robin","non-dropping-particle":"","parse-names":false,"suffix":""}],"id":"ITEM-2","issued":{"date-parts":[["2017","9","11"]]},"number-of-pages":"475","publisher":"Routledge","publisher-place":"New York","title":"The Routledge Companion to Critical Accounting","type":"book"},"uris":["http://www.mendeley.com/documents/?uuid=70a8599f-58dd-43ca-8186-7b88d1019e34"]},{"id":"ITEM-3","itemData":{"DOI":"10.2307/2074652","ISBN":"0203404009","ISSN":"00943061","PMID":"211250065","abstract":"The importance and influence of accountancy have increased incredibly rapidly in the post-war period, although it remains an institution about which relatively little is known. Studies which incorporate insights from social and behavioural science are long overdue. The value of such analyses has been increasingly recognised within the accountancy profession in recent years as a compelling, provocative and fruitful com-plement to the conventional education and training process. Sociological Perspectives on Modern Accountancy is the first book to draw on developments in academic sociology and apply them in an accessible way for the accounting student. Written by a sociologist who is also a trained accountant, this book analyses the structure and processes of accountancy in an entirely novel way. It considers the profession, its work roles and employment experiences, and the ideologi-cal nature of accountancy. However, Sociological Perspectives on Modern Accountancy is not merely a sociol-ogy of accountancy, it is a sociology for accountancy. Topics within financial and management accounting, finance and auditing are also explored, using a variety of sociological approaches to encourage the development of the skills of the creative accountant.","author":[{"dropping-particle":"","family":"Roslender","given":"Robin","non-dropping-particle":"","parse-names":false,"suffix":""}],"container-title":"Contemporary Sociology","id":"ITEM-3","issue":"5","issued":{"date-parts":[["1992"]]},"number-of-pages":"243","title":"Sociological Perspectives on Modern Accountancy","type":"book","volume":"22"},"uris":["http://www.mendeley.com/documents/?uuid=0e64985e-6c9c-3704-942d-33cd7e23ddd9"]},{"id":"ITEM-4","itemData":{"ISBN":"0080545041","abstract":"1st ed. Annotation. This book contains 35 carefully selected and abridged versions of scholarly financial and managerial research articles by world-class researchers ranging across a wide spectrum of the social, political and philosophical sides of financial and managerial accounting information and practices to focus on accounting's wider role and impact on organizations and society at large. While each article was substantially culled in order to highlight its central findings and its unique approach, care was exercised to maintain the integrity of the authors' work. The result is a collection of readily accessible research including: classics and seminal articles, a selection of more contemporary articles, and recent articles that go beyond the conventional. Thus, the book pushes the boundaries beyond that of conventional accounting thought and research. This anthology will be of interest especially to graduate students since it provides a broad sampling of influential research studies presented in a highly accessible format. It should also be of vital interest to sophisticated practitioners who are concerned about the current state of the accounting world in the wake of the recent cascade of so-called \"accounting scandals\". The hope also is to help bridge the gap between the practitioners' and the scholarly researchers' Worlds. Cover -- Preface -- Acknowledgements -- Contributors -- Contents -- Introduction -- Part I: Classics -- Chapter 1. The Roles of Accounting in Organizations and Society -- Chapter 2. Designing Semi-confusing Information Systems for Organizations in Changing Environments -- Chapter 3. Towards a Political Economy of Accounting: An Empirical Illustration of the Cambridge Controversies -- Chapter 4. The Value of Corporate Accounting Reports: Arguments for a Political Economy of Accounting -- Chapter 5. Making Sense of Research into the Organizational and Social Aspects of Management Accounting: A Review of its Underlying Assumptions -- Chapter 6. Radical Developments in Accounting Thought -- Chapter 7. Accounting Systems and Systems of Accountability -- Understanding Accounting Practices in their Organizational Contexts -- Chapter 8. The Archaeology of Accounting Systems -- Chapter 9. Accounting and the Construction of the Governable Person -- Chapter 10 . Accounting Systems in Organizational Contexts: A Case for Critical Theory -- Chapter 11. Accounting as a Legitimating Institution -- Chapter 12. Letting the Chat Out of the Bag:…","author":[{"dropping-particle":"","family":"Macintosh","given":"Norman B.","non-dropping-particle":"","parse-names":false,"suffix":""},{"dropping-particle":"","family":"Hopper","given":"Trevor","non-dropping-particle":"","parse-names":false,"suffix":""}],"id":"ITEM-4","issued":{"date-parts":[["2005"]]},"number-of-pages":"402","publisher":"Elsevier","publisher-place":"London","title":"Accounting, the social and the political : classics, contemporary and beyond","type":"book"},"uris":["http://www.mendeley.com/documents/?uuid=a7ac98da-d35c-3791-873a-9a848cf6e02d"]},{"id":"ITEM-5","itemData":{"ISBN":"0415279461","abstract":"Drawing upon the work of eminent thinkers such as Barthes, Baudrillard, Derrida, Foucault, Lyotard and Bahktin, Macintosh develops revolutionary insights into the introduction of contemporary poststructuralist ideas into accounting theory. 1. Introduction -- 2. Structuralism and poststructuralism -- 3. Literary theory and accounting -- 4. Simulacra and hyperreality -- 5. Surveillance, discipline, and punishment -- 6. Accounting and truth -- 7. Heteroglossic accounting.","author":[{"dropping-particle":"","family":"Macintosh","given":"Norman B.","non-dropping-particle":"","parse-names":false,"suffix":""}],"id":"ITEM-5","issued":{"date-parts":[["2002"]]},"number-of-pages":"165","publisher":"Routledge","publisher-place":"London","title":"Accounting, accountants and accountability : poststructuralist positions","type":"book"},"uris":["http://www.mendeley.com/documents/?uuid=939cc91c-e067-35a7-9cae-48df8bce9dca"]},{"id":"ITEM-6","itemData":{"ISBN":"9789587810813","author":[{"dropping-particle":"","family":"Roslender","given":"R","non-dropping-particle":"","parse-names":false,"suffix":""}],"id":"ITEM-6","issued":{"date-parts":[["2017"]]},"publisher":"Pontificia Universidad Javeriana","title":"Perspectivas sociológicas de la contabilidad moderna","type":"book"},"uris":["http://www.mendeley.com/documents/?uuid=f73b22e5-a09e-4db6-836e-3bfdc7c0f216","http://www.mendeley.com/documents/?uuid=b160efbb-708b-4ed0-8207-bd6c22ac7bde"]}],"mendeley":{"formattedCitation":"(Jack, 2016; Macintosh, 2002; Macintosh y Hopper, 2005; Roslender, 1992, 2017a, 2017b)","plainTextFormattedCitation":"(Jack, 2016; Macintosh, 2002; Macintosh y Hopper, 2005; Roslender, 1992, 2017a, 2017b)","previouslyFormattedCitation":"(Jack, 2016; Macintosh, 2002; Macintosh y Hopper, 2005; Roslender, 1992, 2017a, 2017b)"},"properties":{"noteIndex":0},"schema":"https://github.com/citation-style-language/schema/raw/master/csl-citation.json"}</w:instrText>
      </w:r>
      <w:r>
        <w:rPr>
          <w:rFonts w:cstheme="minorHAnsi"/>
        </w:rPr>
        <w:fldChar w:fldCharType="separate"/>
      </w:r>
      <w:r w:rsidR="0023715B" w:rsidRPr="0023715B">
        <w:rPr>
          <w:rFonts w:cstheme="minorHAnsi"/>
          <w:noProof/>
        </w:rPr>
        <w:t>(Jack, 2016; Macintosh, 2002; Macintosh y Hopper, 2005; Roslender, 1992, 2017a, 2017b)</w:t>
      </w:r>
      <w:r>
        <w:rPr>
          <w:rFonts w:cstheme="minorHAnsi"/>
        </w:rPr>
        <w:fldChar w:fldCharType="end"/>
      </w:r>
      <w:r>
        <w:rPr>
          <w:rFonts w:cstheme="minorHAnsi"/>
        </w:rPr>
        <w:t xml:space="preserve"> los cuales incorporan este marco como pieza fundamental en la investigación no convencional en áreas como la contabilidad de gestión, las finanzas</w:t>
      </w:r>
      <w:r w:rsidR="00991AA8">
        <w:rPr>
          <w:rFonts w:cstheme="minorHAnsi"/>
        </w:rPr>
        <w:t>,</w:t>
      </w:r>
      <w:r>
        <w:rPr>
          <w:rFonts w:cstheme="minorHAnsi"/>
        </w:rPr>
        <w:t xml:space="preserve"> </w:t>
      </w:r>
      <w:r w:rsidR="00991AA8">
        <w:rPr>
          <w:rFonts w:cstheme="minorHAnsi"/>
        </w:rPr>
        <w:t xml:space="preserve">la auditoría </w:t>
      </w:r>
      <w:r>
        <w:rPr>
          <w:rFonts w:cstheme="minorHAnsi"/>
        </w:rPr>
        <w:t>y el control.</w:t>
      </w:r>
    </w:p>
    <w:p w14:paraId="761DE999" w14:textId="08F8FABF" w:rsidR="00DD70D5" w:rsidRPr="004C174D" w:rsidRDefault="23F3FC12" w:rsidP="23F3FC12">
      <w:pPr>
        <w:spacing w:before="100" w:beforeAutospacing="1" w:after="100" w:afterAutospacing="1"/>
        <w:jc w:val="both"/>
      </w:pPr>
      <w:r w:rsidRPr="23F3FC12">
        <w:t xml:space="preserve">Al menos tres trabajos recientes han abordado la influencia del filósofo francés Michel Foucault en la investigación contable alternativa: </w:t>
      </w:r>
      <w:r w:rsidR="00A70173" w:rsidRPr="23F3FC12">
        <w:fldChar w:fldCharType="begin" w:fldLock="1"/>
      </w:r>
      <w:r w:rsidR="0023715B">
        <w:instrText>ADDIN CSL_CITATION {"citationItems":[{"id":"ITEM-1","itemData":{"DOI":"10.11144/Javeriana.cc19-47.pefc","ISSN":"2500-6045","abstract":"En este documento se presenta un panorama del efecto Foucault en contabilidad y gestión pública, con el fin de evidenciar temáticas, autores y vacíos de investigación desde los estudios en gubernamentalidad. La unidad de análisis fueron setenta textos seleccionados en una revisión sistemática de artículos publicados entre 2012 y 2016, en cinco de las principales revistas internacionales relacionadas con las disciplinas analizadas. Para la recolección de los datos y la codificación de la información se utilizó una matriz de Excel y el software de investigación cualitativa Atlas.ti, versión 7.5.16. La comprensión de la información se complementó con un método de análisis de frecuencia y un análisis de red. Dentro de los resultados se destacan cuatro ejes temáticos: la gestión calculada, el gobierno a distancia, la modernización del gobierno y la contabilidad de la ciudad. Además, los cinco autores que más han publicado en el tema: Dean Neu, Cameron Graham, Eric Pezet, Ingrid Jeacle y Peter Miller, así como las redes de cooperación entre países, dentro de los cuales se evidencia a Reino Unido y Canadá. También se identifica que el principal reto de investigación está en entender la contabilidad de las ciudades de las llamadas economías emergentes. Así, este artículo hace contribuciones importantes para la contaduría y la administración, en especial, se establecen herramientas teóricas para que los investigadores estudien la contabilidad y su incidencia en la gestión de las ciudades, desde la perspectiva de la gubernamentalidad, en aras de avanzar en este tópico que requiere de discusión en Latinoamérica para repensar las incidencias del cálculo contable y la gestión del ciudadano.","author":[{"dropping-particle":"","family":"Ocampo","given":"Carmen Alejandra","non-dropping-particle":"","parse-names":false,"suffix":""}],"container-title":"Cuadernos de Contabilidad","id":"ITEM-1","issue":"47","issued":{"date-parts":[["2018","12","5"]]},"page":"60-79","title":"Un panorama del efecto Foucault en contabilidad y gestión pública temáticas, autores y retos de investigación desde la gubernamentalidad","type":"article-journal","volume":"19"},"uris":["http://www.mendeley.com/documents/?uuid=f0ed2016-8056-33c9-8ffc-e8440bb6727d"]},{"id":"ITEM-2","itemData":{"DOI":"10.4324/9781315775203-6","author":[{"dropping-particle":"","family":"Knights","given":"David","non-dropping-particle":"","parse-names":false,"suffix":""},{"dropping-particle":"","family":"Bloom","given":"Peter","non-dropping-particle":"","parse-names":false,"suffix":""}],"chapter-number":"6","container-title":"The Routledge Companion to Critical Accounting","editor":[{"dropping-particle":"","family":"Roslender","given":"Robin","non-dropping-particle":"","parse-names":false,"suffix":""}],"id":"ITEM-2","issued":{"date-parts":[["2017","9","11"]]},"page":"91-108","publisher":"Routledge","title":"Foucault","type":"chapter"},"uris":["http://www.mendeley.com/documents/?uuid=dc1d870e-7107-367a-8a31-6480f942d078"]},{"id":"ITEM-3","itemData":{"DOI":"10.1504/IJCA.2012.051466","ISSN":"1757-9848","abstract":"The aim of this work is to build a map of Foucault’s approach. To achieve this objective, this work is focused on a broad revision and analysis of accounting and various publications. This work also includes a research on Foucault’s work so as to identify and compare the various manifestations of power relationships considered by different researchers. Once these manifestations of power as discourse, discipline, ethics, government, among others, have been identified, the specific influence of each one over accounting and management is determined as an attempt to provide a general view of this critical Foucauldian perspective over the study of organisations.","author":[{"dropping-particle":"","family":"Rivera","given":"Eduardo","non-dropping-particle":"","parse-names":false,"suffix":""}],"container-title":"International Journal of Critical Accounting","id":"ITEM-3","issue":"5/6","issued":{"date-parts":[["2012","12","10"]]},"page":"728","title":"Foucault: His influence over accounting and management research. Building of a map of Foucault's approach","type":"article-journal","volume":"4"},"uris":["http://www.mendeley.com/documents/?uuid=78e4ca22-b7a6-4807-9b0f-b1bd72582de6"]}],"mendeley":{"formattedCitation":"(Knights y Bloom, 2017; Ocampo, 2018; Rivera, 2012)","plainTextFormattedCitation":"(Knights y Bloom, 2017; Ocampo, 2018; Rivera, 2012)","previouslyFormattedCitation":"(Knights y Bloom, 2017; Ocampo, 2018; Rivera, 2012)"},"properties":{"noteIndex":0},"schema":"https://github.com/citation-style-language/schema/raw/master/csl-citation.json"}</w:instrText>
      </w:r>
      <w:r w:rsidR="00A70173" w:rsidRPr="23F3FC12">
        <w:fldChar w:fldCharType="separate"/>
      </w:r>
      <w:r w:rsidR="0023715B" w:rsidRPr="0023715B">
        <w:rPr>
          <w:noProof/>
        </w:rPr>
        <w:t>(Knights y Bloom, 2017; Ocampo, 2018; Rivera, 2012)</w:t>
      </w:r>
      <w:r w:rsidR="00A70173" w:rsidRPr="23F3FC12">
        <w:fldChar w:fldCharType="end"/>
      </w:r>
      <w:r w:rsidRPr="23F3FC12">
        <w:t xml:space="preserve">, complementando los trabajos de </w:t>
      </w:r>
      <w:r w:rsidRPr="23F3FC12">
        <w:rPr>
          <w:noProof/>
        </w:rPr>
        <w:t>Armstrong</w:t>
      </w:r>
      <w:r w:rsidRPr="23F3FC12">
        <w:t xml:space="preserve"> </w:t>
      </w:r>
      <w:r w:rsidR="00A70173" w:rsidRPr="23F3FC12">
        <w:fldChar w:fldCharType="begin" w:fldLock="1"/>
      </w:r>
      <w:r w:rsidR="00A70173" w:rsidRPr="23F3FC12">
        <w:instrText>ADDIN CSL_CITATION {"citationItems":[{"id":"ITEM-1","itemData":{"DOI":"10.1006/cpac.1994.1003","ISBN":"1045-2354","ISSN":"10959955","abstract":"During the past few years, some of the most challenging work on the history and sociology of accounting has been inspired by the work of Michel Foucault. Following a recent intervention by Neimark (1990), this paper attempts an appraisal of the achievements and potential of this body of work. The paper argues that the application to accounting of Foucault's concept of disciplinary power has been misleading in important respects. in Foucault's portrayal, disciplinary regimes involves a continuous and comprehensive surveillance of individual conduct. In contrast, a key feature of accounting systems is that they shift emphasis away from behavioural details and onto economic outcomes. Foucault also depicts disciplinary regimes as operating primarily through a discursive constitution of the subject. Besides making it difficult to see how the constituted individual can ever resist accounting controls, this involves the dubious assumption that the disciplinary effect of accounting information is independent of physical and material sanctions. In Foucault's work, the concept of disciplinary power was intended to encapsulate the characteristic exercise of power in modernity. The use of such a high-level concept in accounting research naturally tends to suppress detail. In consequence, the approach offers little purchase on such everyday phenomena as change accounting systems, the relationships between accounting and other means of managerial control and the differences between accounting systems in different contexts. A second generation of Foucauldian research has drawn its inspiration from his studies of governmentality rather than of disciplinary regimes. In this approach, accounting is seen as a form of action at a distance and attention is focused on the processes of translation whereby the discursive conditions of possibility of particular uses of accounting come into being. This is a theoretical advance in that an account is offered of the diffusion and change of accounting technique. On the other hand, there are theoretical difficulties involved in attempting to specify the discursive conditions of forms of accounting control. On the methodological front, both Foucauldian genealogy and its extension via the sociology of translation pose questions of validity which have received little attention in their accounting application. Both appear to call for much the same kind of evidence as the methods of traditional history. The paper suggests some possible li…","author":[{"dropping-particle":"","family":"Armstrong","given":"Peter","non-dropping-particle":"","parse-names":false,"suffix":""}],"container-title":"Critical Perspectives on Accounting","id":"ITEM-1","issue":"1","issued":{"date-parts":[["1994"]]},"page":"25-55","title":"The Influence of Michel Foucault on Accounting Research","type":"article-journal","volume":"5"},"suppress-author":1,"uris":["http://www.mendeley.com/documents/?uuid=14e4e9c2-ad17-316f-8470-1b424d23d503"]}],"mendeley":{"formattedCitation":"(1994)","plainTextFormattedCitation":"(1994)","previouslyFormattedCitation":"(1994)"},"properties":{"noteIndex":0},"schema":"https://github.com/citation-style-language/schema/raw/master/csl-citation.json"}</w:instrText>
      </w:r>
      <w:r w:rsidR="00A70173" w:rsidRPr="23F3FC12">
        <w:fldChar w:fldCharType="separate"/>
      </w:r>
      <w:r w:rsidRPr="23F3FC12">
        <w:rPr>
          <w:noProof/>
        </w:rPr>
        <w:t>(1994)</w:t>
      </w:r>
      <w:r w:rsidR="00A70173" w:rsidRPr="23F3FC12">
        <w:fldChar w:fldCharType="end"/>
      </w:r>
      <w:r w:rsidRPr="23F3FC12">
        <w:t xml:space="preserve"> y Macintosh </w:t>
      </w:r>
      <w:r w:rsidR="00A70173" w:rsidRPr="23F3FC12">
        <w:fldChar w:fldCharType="begin" w:fldLock="1"/>
      </w:r>
      <w:r w:rsidR="00A70173" w:rsidRPr="23F3FC12">
        <w:instrText>ADDIN CSL_CITATION {"citationItems":[{"id":"ITEM-1","itemData":{"ISBN":"0415279461","abstract":"Drawing upon the work of eminent thinkers such as Barthes, Baudrillard, Derrida, Foucault, Lyotard and Bahktin, Macintosh develops revolutionary insights into the introduction of contemporary poststructuralist ideas into accounting theory. 1. Introduction -- 2. Structuralism and poststructuralism -- 3. Literary theory and accounting -- 4. Simulacra and hyperreality -- 5. Surveillance, discipline, and punishment -- 6. Accounting and truth -- 7. Heteroglossic accounting.","author":[{"dropping-particle":"","family":"Macintosh","given":"Norman B.","non-dropping-particle":"","parse-names":false,"suffix":""}],"id":"ITEM-1","issued":{"date-parts":[["2002"]]},"number-of-pages":"165","publisher":"Routledge","publisher-place":"London","title":"Accounting, accountants and accountability : poststructuralist positions","type":"book"},"suppress-author":1,"uris":["http://www.mendeley.com/documents/?uuid=939cc91c-e067-35a7-9cae-48df8bce9dca"]}],"mendeley":{"formattedCitation":"(2002)","plainTextFormattedCitation":"(2002)","previouslyFormattedCitation":"(2002)"},"properties":{"noteIndex":0},"schema":"https://github.com/citation-style-language/schema/raw/master/csl-citation.json"}</w:instrText>
      </w:r>
      <w:r w:rsidR="00A70173" w:rsidRPr="23F3FC12">
        <w:fldChar w:fldCharType="separate"/>
      </w:r>
      <w:r w:rsidRPr="23F3FC12">
        <w:rPr>
          <w:noProof/>
        </w:rPr>
        <w:t>(2002)</w:t>
      </w:r>
      <w:r w:rsidR="00A70173" w:rsidRPr="23F3FC12">
        <w:fldChar w:fldCharType="end"/>
      </w:r>
      <w:r w:rsidRPr="23F3FC12">
        <w:t>.  No obstante, ninguno de estos documentos presenta una metodología consistente con una Revisión Sistemática de la Literatura (RSL), ya sea por la heterodoxia manifiesta o por la incipiente presencia de este método en el campo contable. Se presentan como intentos por mostrar la trayectoria de este marco teórico en la academia contable.</w:t>
      </w:r>
    </w:p>
    <w:p w14:paraId="74979554" w14:textId="47E26622" w:rsidR="00DD70D5" w:rsidRPr="004C174D" w:rsidRDefault="00DD70D5" w:rsidP="00DD70D5">
      <w:pPr>
        <w:spacing w:before="100" w:beforeAutospacing="1" w:after="100" w:afterAutospacing="1"/>
        <w:jc w:val="both"/>
        <w:rPr>
          <w:rFonts w:cstheme="minorHAnsi"/>
        </w:rPr>
      </w:pPr>
      <w:r w:rsidRPr="004C174D">
        <w:rPr>
          <w:rFonts w:cstheme="minorHAnsi"/>
        </w:rPr>
        <w:lastRenderedPageBreak/>
        <w:t xml:space="preserve">En Colombia, </w:t>
      </w:r>
      <w:r w:rsidR="00A70173">
        <w:rPr>
          <w:rFonts w:cstheme="minorHAnsi"/>
        </w:rPr>
        <w:t xml:space="preserve">pueden </w:t>
      </w:r>
      <w:r w:rsidRPr="004C174D">
        <w:rPr>
          <w:rFonts w:cstheme="minorHAnsi"/>
        </w:rPr>
        <w:t>identificar</w:t>
      </w:r>
      <w:r w:rsidR="00A70173">
        <w:rPr>
          <w:rFonts w:cstheme="minorHAnsi"/>
        </w:rPr>
        <w:t>se</w:t>
      </w:r>
      <w:r w:rsidRPr="004C174D">
        <w:rPr>
          <w:rFonts w:cstheme="minorHAnsi"/>
        </w:rPr>
        <w:t xml:space="preserve"> tres etapas en la formación de corrientes académicas en la </w:t>
      </w:r>
      <w:r w:rsidR="002B0B56">
        <w:rPr>
          <w:rFonts w:cstheme="minorHAnsi"/>
        </w:rPr>
        <w:t>contabilidad</w:t>
      </w:r>
      <w:r w:rsidR="00F031D4">
        <w:rPr>
          <w:rFonts w:cstheme="minorHAnsi"/>
        </w:rPr>
        <w:t>;</w:t>
      </w:r>
      <w:r w:rsidRPr="004C174D">
        <w:rPr>
          <w:rFonts w:cstheme="minorHAnsi"/>
        </w:rPr>
        <w:t xml:space="preserve"> la primera, se origina alrededor de 1970</w:t>
      </w:r>
      <w:r w:rsidR="000F5BFA">
        <w:rPr>
          <w:rFonts w:cstheme="minorHAnsi"/>
        </w:rPr>
        <w:t xml:space="preserve">, </w:t>
      </w:r>
      <w:r w:rsidR="00A70173">
        <w:rPr>
          <w:rFonts w:cstheme="minorHAnsi"/>
        </w:rPr>
        <w:t>impulsó la inclusión de</w:t>
      </w:r>
      <w:r w:rsidRPr="004C174D">
        <w:rPr>
          <w:rFonts w:cstheme="minorHAnsi"/>
        </w:rPr>
        <w:t xml:space="preserve"> la teoría y la investigación contable</w:t>
      </w:r>
      <w:r w:rsidR="00AD7FB5">
        <w:rPr>
          <w:rFonts w:cstheme="minorHAnsi"/>
        </w:rPr>
        <w:t xml:space="preserve"> en los programas académicos</w:t>
      </w:r>
      <w:r w:rsidRPr="004C174D">
        <w:rPr>
          <w:rFonts w:cstheme="minorHAnsi"/>
        </w:rPr>
        <w:t xml:space="preserve">; la segunda, que va de 1990 hasta 2000 que buscó diálogos con las ciencias sociales y humanas; y la tercera, que llega hasta </w:t>
      </w:r>
      <w:r w:rsidR="00A70173">
        <w:rPr>
          <w:rFonts w:cstheme="minorHAnsi"/>
        </w:rPr>
        <w:t>la actualidad</w:t>
      </w:r>
      <w:r w:rsidRPr="004C174D">
        <w:rPr>
          <w:rFonts w:cstheme="minorHAnsi"/>
        </w:rPr>
        <w:t xml:space="preserve">, </w:t>
      </w:r>
      <w:r w:rsidR="00A70173">
        <w:rPr>
          <w:rFonts w:cstheme="minorHAnsi"/>
        </w:rPr>
        <w:t xml:space="preserve">donde </w:t>
      </w:r>
      <w:r w:rsidRPr="004C174D">
        <w:rPr>
          <w:rFonts w:cstheme="minorHAnsi"/>
        </w:rPr>
        <w:t>se debate la función crítica de la investigación contable. Así, los instrumentos de análisis documental se presentan como la alternativa apropiada para abordar los objetos producidos en el mundo académico</w:t>
      </w:r>
      <w:r w:rsidR="00A70173">
        <w:rPr>
          <w:rFonts w:cstheme="minorHAnsi"/>
        </w:rPr>
        <w:t>.</w:t>
      </w:r>
    </w:p>
    <w:p w14:paraId="7648B65E" w14:textId="61CD09A3" w:rsidR="00DD70D5" w:rsidRPr="004C174D" w:rsidRDefault="23F3FC12" w:rsidP="23F3FC12">
      <w:pPr>
        <w:spacing w:before="100" w:beforeAutospacing="1" w:after="100" w:afterAutospacing="1"/>
        <w:jc w:val="both"/>
      </w:pPr>
      <w:r>
        <w:t xml:space="preserve">En el entorno local, se identifican varios trabajos con la influencia de la obra de Foucault, principalmente evocan tres tópicos. Por un lado, la orientación epistemológica de la arqueología y la genealogía </w:t>
      </w:r>
      <w:r w:rsidR="00DD70D5">
        <w:fldChar w:fldCharType="begin" w:fldLock="1"/>
      </w:r>
      <w:r w:rsidR="00962D29">
        <w:instrText>ADDIN CSL_CITATION {"citationItems":[{"id":"ITEM-1","itemData":{"author":[{"dropping-particle":"","family":"Quintero","given":"Hernán","non-dropping-particle":"","parse-names":false,"suffix":""}],"container-title":"Perspectivas críticas de la contabilidad contemporánea. Conjunciones y disertaciones: Pensando la contabilidad en el siglo XXI","editor":[{"dropping-particle":"","family":"Barrios","given":"Claudia","non-dropping-particle":"","parse-names":false,"suffix":""},{"dropping-particle":"","family":"Rojas","given":"William","non-dropping-particle":"","parse-names":false,"suffix":""}],"id":"ITEM-1","issued":{"date-parts":[["2010"]]},"page":"85-99","publisher":"Universidad del Valle &amp; Pontificia Universidad Javeriana","publisher-place":"Cali","title":"La perspectiva foucaultiana y la contabilidad: una mirada a las relaciones de poder en las organizaciones.","type":"chapter"},"uris":["http://www.mendeley.com/documents/?uuid=dce90be8-0c05-4486-b826-1955ac0eb53d"]}],"mendeley":{"formattedCitation":"(Quintero, 2010)","plainTextFormattedCitation":"(Quintero, 2010)","previouslyFormattedCitation":"(Quintero, 2010)"},"properties":{"noteIndex":0},"schema":"https://github.com/citation-style-language/schema/raw/master/csl-citation.json"}</w:instrText>
      </w:r>
      <w:r w:rsidR="00DD70D5">
        <w:fldChar w:fldCharType="separate"/>
      </w:r>
      <w:r w:rsidR="00E03420" w:rsidRPr="00E03420">
        <w:rPr>
          <w:noProof/>
        </w:rPr>
        <w:t>(Quintero, 2010)</w:t>
      </w:r>
      <w:r w:rsidR="00DD70D5">
        <w:fldChar w:fldCharType="end"/>
      </w:r>
      <w:r>
        <w:t xml:space="preserve">; por otro lado, la mirada sobre el poder en las organizaciones </w:t>
      </w:r>
      <w:r w:rsidR="00DD70D5">
        <w:fldChar w:fldCharType="begin" w:fldLock="1"/>
      </w:r>
      <w:r w:rsidR="0023715B">
        <w:instrText>ADDIN CSL_CITATION {"citationItems":[{"id":"ITEM-1","itemData":{"ISSN":"2590-4604","author":[{"dropping-particle":"","family":"Pineda","given":"Juan Manuel","non-dropping-particle":"","parse-names":false,"suffix":""}],"container-title":"Contaduría Universidad de Antioquia","id":"ITEM-1","issue":"55","issued":{"date-parts":[["2009"]]},"page":"103-130","title":"Poder, organización productiva y contabilidad–Preludio–","type":"article-journal"},"uris":["http://www.mendeley.com/documents/?uuid=96edbd58-874f-4224-986c-4f7635293987"]},{"id":"ITEM-2","itemData":{"ISSN":"2256-5078","abstract":"Este articulo es el resultado de una primera inquietud en torno a la concepcion del poder existente en los estudios organizacionales como herramienta para comprender la dinamica propia de las organizaciones empresariales actuales. Los planteamientos sobre el poder en dichas organizaciones sugieren una apropiacion de este desde una perspectiva instrumental y pragmatica, en tanto se ha centrado la atencion en asuntos relacionados con como se obtiene el poder y su uso eficiente y estrategico desde los centros directivos y de gestion. Con este antecedente, la investigacion propone realizar un analisis teorico de la nocion de poder en Michel Foucault como referente que permita superar las fronteras tradicionales del pensamiento organizacional. Para este proposito, se realizo el analisis y sintesis de los planteamientos de Foucault en torno al poder, concretamente en las obras La Gubernamentalidad, El Sujeto y el Poder, Microfísica del Poder, Vigilar y Castigar y La Voluntad de Saber ; mediante la revision documental y sistematizacion de los desarrollos de destacados autores que se han ocupado del concepto de poder en el medio organizacional. La ultima parte del texto esta dedicada a la problematizacion y reflexion del poder en la organizacion empresarial, de sus esfuerzos por establecer un control y una disciplina que ordenen y regularicen a los trabajadores y asi obtener de ellos el maximo aporte para el logro de los objetivos organizacionales.","author":[{"dropping-particle":"","family":"Hidalgo","given":"Clara","non-dropping-particle":"","parse-names":false,"suffix":""},{"dropping-particle":"","family":"Yela","given":"Jeysson","non-dropping-particle":"","parse-names":false,"suffix":""}],"container-title":"Cuadernos de Administración","id":"ITEM-2","issue":"44","issued":{"date-parts":[["2011","11","2"]]},"page":"57-70","title":"El poder en Foucault: bases analíticas para el estudio de las organizaciones","type":"article-journal","volume":"26"},"uris":["http://www.mendeley.com/documents/?uuid=bb9bec2c-e6e1-367d-ae1e-f869f029c996"]},{"id":"ITEM-3","itemData":{"abstract":"La contabilidad moderna, que se ha idoperfeccionando cada vez más al incorporar, por ejemplo,prácticas como el cálculo de los costos y el control presupuestario,se ha convertido en una herramienta necesariapara el poder capitalista. Esto por cuanto mediantela contabilidad se controlan factores como el capital, losmateriales, la producción y también los recursos humanos.En este sentido y con respecto a la posibilidad de que lacontabilidad ayude al control de los individuos convertidosen recursos humanos, se han abordado los planteamientosdel pensador francés Michel Foucault sobre el tipo depoder que surgió en Occidente desde el siglo XVIII, y sobrelos dispositivos con los cuales se ejerce ese poder (quepermiten controlar, vigilar y disciplinar a los individuos, esdecir, que permiten gobernarlos mediante la dirección desus conductas). Estos conceptos foucaultianos de poder y dedispositivo constituyen una valiosa herramienta de análisispara interpretar y caracterizar la contabilidad como undispositivo de poder que posibilita controlar, vigilar, disciplinary, en efecto, gobernar a los individuos. Así las cosas,la pregunta que guía esta investigación es: ¿por qué la contabilidadpuede ser caracterizada como un dispositivo depoder desde la perspectiva foucaultiana?","author":[{"dropping-particle":"","family":"Flor","given":"Naila","non-dropping-particle":"","parse-names":false,"suffix":""}],"container-title":"Cuadernos de Contabilidad","id":"ITEM-3","issue":"34","issued":{"date-parts":[["2013","6","20"]]},"page":"64","publisher":"Pontificia Universidad Javeriana","title":"La contabilidad vista como dispositivo de poder: aproximación interpretativa desde la perspectiva foucaultiana","type":"article-journal","volume":"14"},"uris":["http://www.mendeley.com/documents/?uuid=902df1da-16d0-3b87-a109-4cbc63209184"]}],"mendeley":{"formattedCitation":"(Flor, 2013; Hidalgo y Yela, 2011; Pineda, 2009)","plainTextFormattedCitation":"(Flor, 2013; Hidalgo y Yela, 2011; Pineda, 2009)","previouslyFormattedCitation":"(Flor, 2013; Hidalgo y Yela, 2011; Pineda, 2009)"},"properties":{"noteIndex":0},"schema":"https://github.com/citation-style-language/schema/raw/master/csl-citation.json"}</w:instrText>
      </w:r>
      <w:r w:rsidR="00DD70D5">
        <w:fldChar w:fldCharType="separate"/>
      </w:r>
      <w:r w:rsidR="0023715B" w:rsidRPr="0023715B">
        <w:rPr>
          <w:noProof/>
        </w:rPr>
        <w:t>(Flor, 2013; Hidalgo y Yela, 2011; Pineda, 2009)</w:t>
      </w:r>
      <w:r w:rsidR="00DD70D5">
        <w:fldChar w:fldCharType="end"/>
      </w:r>
      <w:r>
        <w:t xml:space="preserve">; además, emergen los trabajos sobre la subjetividad y la gubernamentalidad </w:t>
      </w:r>
      <w:r w:rsidR="00DD70D5">
        <w:fldChar w:fldCharType="begin" w:fldLock="1"/>
      </w:r>
      <w:r w:rsidR="00DD70D5">
        <w:instrText>ADDIN CSL_CITATION {"citationItems":[{"id":"ITEM-1","itemData":{"abstract":"La subjetividad puede ser entendida comola condición que le permite a cada sujeto autorreferirserespecto de sí y de su contexto. Podemos estar frente a unsujeto que cuida de sí y de los otros (sapientia), o frentea un sujeto que no desarrolla ejercicios y prácticas conscientespara esculpir una imagen de sí (stultitia). La educacióntiene profundos impactos en la constitución de lasubjetividad. Particularmente, la educación contable noha prestado atención a la formación de la subjetividad enlas dimensiones complejas de la persona-profesional. Peroesta falta de atención no significa que no se participe en laconstitución de un tipo de subjetividad. En este trabajo nospreguntamos: ¿qué tipo de subjetividad se construye desdela educación contable actual? Planteamos que, por mediode contenidos conceptuales (la visión financiera delmundo social), valores implícitos y explícitos (individualismo,egoísmo, emprenderismo, exitismo) y mecanismosde disciplinamiento formal (códigos éticos y estándaresprofesionales, entre otros), se participa en la constituciónde una subjetividad caracterizada en la actualidad por elpredominio de la formación que hace al sujeto competenteen ciertos ejercicios profesionales, profundamente débilen comprensiones contextuales y de alta incapacidad para problematizarse frente a la complejidad del mundo de lavida. Señalamos que la educación contable actual debe conmoversus bases estructurantes para facilitar procesos deresubjetivización en el estudiante de contaduría pública.","author":[{"dropping-particle":"","family":"Ospina","given":"Carlos Mario","non-dropping-particle":"","parse-names":false,"suffix":""},{"dropping-particle":"","family":"Gómez","given":"Mauricio","non-dropping-particle":"","parse-names":false,"suffix":""},{"dropping-particle":"","family":"Rojas","given":"William","non-dropping-particle":"","parse-names":false,"suffix":""}],"container-title":"Cuadernos de Contabilidad","id":"ITEM-1","issue":"37","issued":{"date-parts":[["2014","7","9"]]},"page":"64","publisher":"Pontificia Universidad Javeriana","title":"La constitución de la subjetividad en la educación contable: del proceso implícito a la visibilización de sus impactos","type":"article-journal","volume":"15"},"uris":["http://www.mendeley.com/documents/?uuid=f8b9e000-0e8f-36b5-819f-6cecdefd9d28"]},{"id":"ITEM-2","itemData":{"abstract":"This paper relects on public accounting and its relationship with the government of populations. Michel Foucault argues that understanding the historical context is crucial to understanding the constitution of subjects. Therefore, the deinition of accounting as control device, as disciplinary device or governmentality technology must be studied from historical connection. In the governmental level, accounting assumes one way or another depending on the prevailing political rationality in a particular historical moment. In this perspective changes and transformations of the welfare state are recognized to a neoliberal state in the last 30 years, a change of political rationality which involved the transfer of business logic, including accounting, for the public government.","author":[{"dropping-particle":"","family":"Ocampo","given":"Carmen Alejandra","non-dropping-particle":"","parse-names":false,"suffix":""}],"container-title":"Revista En-contexto / ISSN: 2346-3279","id":"ITEM-2","issue":"7","issued":{"date-parts":[["2017"]]},"page":"205-223","title":"Contabilidad pública: ¿Instrumento de gobierno neoliberal de las poblaciones?","type":"article-journal"},"uris":["http://www.mendeley.com/documents/?uuid=08d49934-8bc0-376b-a403-aa6fbe36e33e"]}],"mendeley":{"formattedCitation":"(Ocampo, 2017; Ospina et al., 2014)","plainTextFormattedCitation":"(Ocampo, 2017; Ospina et al., 2014)","previouslyFormattedCitation":"(Ocampo, 2017; Ospina et al., 2014)"},"properties":{"noteIndex":0},"schema":"https://github.com/citation-style-language/schema/raw/master/csl-citation.json"}</w:instrText>
      </w:r>
      <w:r w:rsidR="00DD70D5">
        <w:fldChar w:fldCharType="separate"/>
      </w:r>
      <w:r w:rsidRPr="23F3FC12">
        <w:rPr>
          <w:noProof/>
        </w:rPr>
        <w:t>(Ocampo, 2017; Ospina et al., 2014)</w:t>
      </w:r>
      <w:r w:rsidR="00DD70D5">
        <w:fldChar w:fldCharType="end"/>
      </w:r>
      <w:r>
        <w:t xml:space="preserve"> que influenciaron buena parte de los recientes ejercicios sobre subjetivación y control a distancia </w:t>
      </w:r>
      <w:r w:rsidR="00DD70D5" w:rsidRPr="23F3FC12">
        <w:fldChar w:fldCharType="begin" w:fldLock="1"/>
      </w:r>
      <w:r w:rsidR="00962D29">
        <w:instrText>ADDIN CSL_CITATION {"citationItems":[{"id":"ITEM-1","itemData":{"abstract":"Maestría","author":[{"dropping-particle":"","family":"Quintero Cardona","given":"Aura Cristina","non-dropping-particle":"","parse-names":false,"suffix":""}],"id":"ITEM-1","issued":{"date-parts":[["2020"]]},"publisher":"Universidad del Vallle","title":"El papel de la contabilidad en los procesos de subjetivación en la empresa neoliberal : un estudio de caso de un banco en Colombia.","type":"thesis"},"uris":["http://www.mendeley.com/documents/?uuid=2aaa288d-d333-322c-a79e-c85767e17982"]},{"id":"ITEM-2","itemData":{"author":[{"dropping-particle":"","family":"Narváez Castillo","given":"Viviana","non-dropping-particle":"","parse-names":false,"suffix":""}],"id":"ITEM-2","issued":{"date-parts":[["2019"]]},"number-of-pages":"121","publisher":"Universidad del Cauca","title":"Gubernamentalidad y contabilidad: un análisis de los nuevos centros de producción normativa contable a la luz de la financiarización económica","type":"thesis"},"uris":["http://www.mendeley.com/documents/?uuid=2ab8ca8c-01d9-3d41-9479-ec40ea1d6a2e"]},{"id":"ITEM-3","itemData":{"author":[{"dropping-particle":"","family":"Bedoya García","given":"Mateo","non-dropping-particle":"","parse-names":false,"suffix":""}],"id":"ITEM-3","issued":{"date-parts":[["2021"]]},"publisher":"Universidad Nacional de Colombia.","title":"Evaluación del papel de la contabilidad en la subjetivación de los estudiantes universitarios en Colombia 2000-2015.","type":"thesis"},"uris":["http://www.mendeley.com/documents/?uuid=3efc066f-faac-48fd-9368-d4ca1ad02c17"]},{"id":"ITEM-4","itemData":{"abstract":"A partir de la categoría Formaciones discusivas propuesta por Michel Foucault, a continuación, se presenta una aproximación a analizar los discursos que emanan de la regulación contable y que convergen en el tópico de los criterios regulados para la valoración contable en Colombia desde 1990 hasta 2016. Lo anterior requirió un acercamiento a sistematizar dicha categoría a la luz de la relación saber- poder- subjetividad, con el objetivo de comprender cómo desde los discursos materialmente dichos se constituyen sujetos, juegos de verdad (o el saber) y prácticas de poder. En este sentido, fue menester ahondar en la comprensión de la contabilidad como una práctica social e institucional de acuerdo con Miller (1994, p. 1). Lo anterior, para posibilitar un abordaje del ejercicio profesional del contable como constituidor por sí mismo, y no de forma derivada o secundaria, de relaciones sociales.","author":[{"dropping-particle":"","family":"Lucumí Mosquera","given":"Lina Fernanda","non-dropping-particle":"","parse-names":false,"suffix":""}],"id":"ITEM-4","issued":{"date-parts":[["2017"]]},"publisher":"Universidad del Valle","title":"Criterios regulados para la valoración contable en Colombia (1990-2016) : a propósito de la arqueología del saber de Michel Foucault","type":"thesis"},"uris":["http://www.mendeley.com/documents/?uuid=016b435b-94cb-3a93-a34d-6997e99b8d65","http://www.mendeley.com/documents/?uuid=d85b1561-498d-456c-b4f8-0207490ddf24"]}],"mendeley":{"formattedCitation":"(Bedoya García, 2021; Lucumí Mosquera, 2017; Narváez Castillo, 2019; Quintero Cardona, 2020)","plainTextFormattedCitation":"(Bedoya García, 2021; Lucumí Mosquera, 2017; Narváez Castillo, 2019; Quintero Cardona, 2020)","previouslyFormattedCitation":"(Bedoya García, 2021; Lucumí Mosquera, 2017; Narváez Castillo, 2019; Quintero Cardona, 2020)"},"properties":{"noteIndex":0},"schema":"https://github.com/citation-style-language/schema/raw/master/csl-citation.json"}</w:instrText>
      </w:r>
      <w:r w:rsidR="00DD70D5" w:rsidRPr="23F3FC12">
        <w:fldChar w:fldCharType="separate"/>
      </w:r>
      <w:r w:rsidR="00E03420" w:rsidRPr="00E03420">
        <w:rPr>
          <w:noProof/>
        </w:rPr>
        <w:t>(Bedoya García, 2021; Lucumí Mosquera, 2017; Narváez Castillo, 2019; Quintero Cardona, 2020)</w:t>
      </w:r>
      <w:r w:rsidR="00DD70D5" w:rsidRPr="23F3FC12">
        <w:fldChar w:fldCharType="end"/>
      </w:r>
      <w:r w:rsidRPr="23F3FC12">
        <w:t>;</w:t>
      </w:r>
      <w:r>
        <w:t xml:space="preserve">  en su gran mayoría, estos trabajos de se derivan de tesis de que transitan a la forma de artículo académico.</w:t>
      </w:r>
    </w:p>
    <w:p w14:paraId="5E8921EB" w14:textId="063A5546" w:rsidR="00DD70D5" w:rsidRPr="004C174D" w:rsidRDefault="00DD70D5" w:rsidP="00DD70D5">
      <w:pPr>
        <w:spacing w:before="100" w:beforeAutospacing="1" w:after="100" w:afterAutospacing="1"/>
        <w:jc w:val="both"/>
      </w:pPr>
      <w:r w:rsidRPr="19EF2931">
        <w:t xml:space="preserve">Desde comienzos del siglo XXI, a nivel internacional, aparecen referencias a la revisión de literatura como un paso necesario para desarrollar investigaciones en contabilidad y finanzas </w:t>
      </w:r>
      <w:r w:rsidRPr="19EF2931">
        <w:fldChar w:fldCharType="begin" w:fldLock="1"/>
      </w:r>
      <w:r w:rsidR="00FD01D2" w:rsidRPr="19EF2931">
        <w:instrText>ADDIN CSL_CITATION {"citationItems":[{"id":"ITEM-1","itemData":{"ISBN":"1861528817","abstract":"pt. 1. Traditions of Research in Finance and Accounting -- 1. The philosophy of financial research -- 2. Alternative philosophies of accounting research -- 3. Traditions of research in finance -- 4. Traditions of research in management accounting -- 5. Traditions of research in financial accounting / Vivien Beattie -- pt. 2. Methods of Research -- 6. Methods of empirical research -- 7. Interpretation of positive research -- 8. Methods of case study research -- 9. The research output -- pt. 3. Techniques of Critical Analysis -- 10. The analysis of literature -- 11. The critical analysis of reasoning -- 12. Formal methods of analysis -- 13. Conclusion.","author":[{"dropping-particle":"","family":"Ryan","given":"Bob","non-dropping-particle":"","parse-names":false,"suffix":""},{"dropping-particle":"","family":"Scapens","given":"Robert William.","non-dropping-particle":"","parse-names":false,"suffix":""},{"dropping-particle":"","family":"Theobald","given":"Michael.","non-dropping-particle":"","parse-names":false,"suffix":""}],"id":"ITEM-1","issued":{"date-parts":[["2002"]]},"number-of-pages":"243","publisher":"Thomson","publisher-place":"London","title":"Research method and methodology in finance and accounting","type":"book"},"uris":["http://www.mendeley.com/documents/?uuid=e39a9729-e7d9-3bf2-83f8-c77c83e6f34d"]},{"id":"ITEM-2","itemData":{"ISBN":"9781910151471","author":[{"dropping-particle":"","family":"Hoque","given":"Zahirul","non-dropping-particle":"","parse-names":false,"suffix":""}],"id":"ITEM-2","issued":{"date-parts":[["2018"]]},"publisher":"Spiramus Press","publisher-place":"London","title":"Methodological issues in accounting research: Second edition","type":"book"},"uris":["http://www.mendeley.com/documents/?uuid=04941bb3-0bf2-427f-885c-e19a4ac94318"]},{"id":"ITEM-3","itemData":{"ISBN":"9781317380245","abstract":"\"Selecting from the wide range of research methodologies remains a dilemma for all scholars, not least those looking to study the world of accounting. Both established and emerging research methods are frequently advocated, creating a challengingly broad range of choices.\"--Publisher's description. Researching everyday accounting practice : epistemological debate / Mark A. Covaleski, Kathryn Haynes, Zahirul Hoque and Lee D. Parker -- Worldviews and paradigms -- Social constructionist research in accounting : a reflection on the accounting profession / Mark A. Covaleski, Mark W. Dirsmith and Sajay Samuel -- Interpretive research in accounting : past, present and future / Kari Lukka and Sven Modell -- Critical studies in accounting: researching the exercise of power / Marcia Annisette and Christine Cooper -- Historiography in accounting research / Garry D. Carnegie and Christopher J. Napier -- Grounded theory approach to accounting studies : overview of principles, assumptions and methods / Andrew Goddard -- Visual methodologies for accounting and accountability / Jane Davison and Samantha Warren -- Appreciative inquiry for accounting research / Zahirul Hoque -- Methodologies and strategies -- Ethnography, ethnomethodology and anthropology studies in accounting / Colin Dey -- Case studies in accounting research / Bill Lee and Christopher G. Humphrey -- An emergence of narrative approaches in social sciences and in accounting research / Barbara Czarniawska -- Oral history / Theresa A. Hammond -- Autoethnography in accounting research / Kathryn Haynes -- Action research in accounting / Timothy J. Fogarty -- Discourse analysis in accounting research / Rihab Khalifa and Habib Mahama -- An introduction to interventionist research in accounting / John Dumay and Vicky Baard -- Reflexivity in accounting research / Kathryn Haynes -- Data collection and analysis -- Mixed methods for understanding accounting issues / Basil Tucker and Zahirul Hoque -- Field interviews : process and analysis / Habib Mahama and Rihab Khalifa -- Participant observation at the coalface / Lee D. Parker -- Content analysis / David Campbell -- Focus group discussions / Elizabeth Gammie, Susan Hamilton and Valerie Gilchrist -- Analyzing and interpreting qualitative data in management accounting research / Mark A. Covaleski, Mark W. Dirsmith and Sajay Samuel -- Qualitative data management and analysis software / Fiona Anderson-Gough, Carla Edgley and Nina Sharma -- Credibility and authenticit…","author":[{"dropping-particle":"","family":"Hoque","given":"Zahirul","non-dropping-particle":"","parse-names":false,"suffix":""},{"dropping-particle":"","family":"Parker","given":"Lee D.","non-dropping-particle":"","parse-names":false,"suffix":""},{"dropping-particle":"","family":"Covaleski","given":"Mark A.","non-dropping-particle":"","parse-names":false,"suffix":""},{"dropping-particle":"","family":"Haynes","given":"Kathryn.","non-dropping-particle":"","parse-names":false,"suffix":""}],"id":"ITEM-3","issued":{"date-parts":[["2017"]]},"number-of-pages":"541","publisher":"Routledge","publisher-place":"New York","title":"The Routledge companion to qualitative accounting research methods","type":"book"},"uris":["http://www.mendeley.com/documents/?uuid=8067f06c-fcaf-3adb-ae2a-5ffe0ab9cf60"]}],"mendeley":{"formattedCitation":"(Hoque, 2018; Hoque et al., 2017; Ryan et al., 2002)","plainTextFormattedCitation":"(Hoque, 2018; Hoque et al., 2017; Ryan et al., 2002)","previouslyFormattedCitation":"(Hoque, 2018; Hoque et al., 2017; Ryan et al., 2002)"},"properties":{"noteIndex":0},"schema":"https://github.com/citation-style-language/schema/raw/master/csl-citation.json"}</w:instrText>
      </w:r>
      <w:r w:rsidRPr="19EF2931">
        <w:fldChar w:fldCharType="separate"/>
      </w:r>
      <w:r w:rsidR="00624C1F" w:rsidRPr="19EF2931">
        <w:rPr>
          <w:noProof/>
        </w:rPr>
        <w:t>(Hoque, 2018; Hoque et al., 2017; Ryan et al., 2002)</w:t>
      </w:r>
      <w:r w:rsidRPr="19EF2931">
        <w:fldChar w:fldCharType="end"/>
      </w:r>
      <w:r w:rsidRPr="19EF2931">
        <w:t xml:space="preserve">, a su vez, los manuales de investigación vienen incorporando dicha estrategia como un paso preliminar dentro del proceso investigativo </w:t>
      </w:r>
      <w:r w:rsidRPr="19EF2931">
        <w:fldChar w:fldCharType="begin" w:fldLock="1"/>
      </w:r>
      <w:r w:rsidRPr="19EF2931">
        <w:instrText>ADDIN CSL_CITATION {"citationItems":[{"id":"ITEM-1","itemData":{"ISBN":"9780761971474","author":[{"dropping-particle":"","family":"Smith","given":"Malcolm","non-dropping-particle":"","parse-names":false,"suffix":""}],"id":"ITEM-1","issued":{"date-parts":[["2014"]]},"publisher":"SAGE Publications","publisher-place":"New York","title":"Research Methods in Accounting","type":"book"},"uris":["http://www.mendeley.com/documents/?uuid=a9e593aa-95f6-4607-8f2c-e8b72d7e72eb"]}],"mendeley":{"formattedCitation":"(Smith, 2014)","plainTextFormattedCitation":"(Smith, 2014)","previouslyFormattedCitation":"(Smith, 2014)"},"properties":{"noteIndex":0},"schema":"https://github.com/citation-style-language/schema/raw/master/csl-citation.json"}</w:instrText>
      </w:r>
      <w:r w:rsidRPr="19EF2931">
        <w:fldChar w:fldCharType="separate"/>
      </w:r>
      <w:r w:rsidRPr="19EF2931">
        <w:rPr>
          <w:noProof/>
        </w:rPr>
        <w:t>(Smith, 2014)</w:t>
      </w:r>
      <w:r w:rsidRPr="19EF2931">
        <w:fldChar w:fldCharType="end"/>
      </w:r>
      <w:r w:rsidRPr="19EF2931">
        <w:t xml:space="preserve">, no obstante, este método no se presenta como </w:t>
      </w:r>
      <w:r w:rsidR="19EF2931" w:rsidRPr="19EF2931">
        <w:t>una</w:t>
      </w:r>
      <w:r w:rsidRPr="19EF2931">
        <w:t xml:space="preserve"> herramienta para desarrollar un proceso completo de investigación, sino como una parte inicial de este.</w:t>
      </w:r>
    </w:p>
    <w:p w14:paraId="7C9A044A" w14:textId="752965CB" w:rsidR="68675208" w:rsidRPr="00E30D65" w:rsidRDefault="68675208" w:rsidP="00961164">
      <w:pPr>
        <w:spacing w:before="100" w:beforeAutospacing="1" w:after="100" w:afterAutospacing="1"/>
        <w:jc w:val="both"/>
      </w:pPr>
      <w:r w:rsidRPr="68675208">
        <w:t xml:space="preserve">Por todo lo anterior, se hace necesario un análisis que rastree la presencia de la obra de Foucault en la investigación contable heterodoxa </w:t>
      </w:r>
      <w:r w:rsidR="00DD70D5" w:rsidRPr="68675208">
        <w:fldChar w:fldCharType="begin" w:fldLock="1"/>
      </w:r>
      <w:r w:rsidR="0023715B">
        <w:instrText>ADDIN CSL_CITATION {"citationItems":[{"id":"ITEM-1","itemData":{"ISBN":"9780191609374","author":[{"dropping-particle":"","family":"Chapman","given":"C S","non-dropping-particle":"","parse-names":false,"suffix":""},{"dropping-particle":"","family":"Cooper","given":"D J","non-dropping-particle":"","parse-names":false,"suffix":""},{"dropping-particle":"","family":"Miller","given":"P","non-dropping-particle":"","parse-names":false,"suffix":""}],"id":"ITEM-1","issued":{"date-parts":[["2009"]]},"publisher":"OUP Oxford","title":"Accounting, Organizations, and Institutions: Essays in Honour of Anthony Hopwood","type":"book"},"uris":["http://www.mendeley.com/documents/?uuid=46e39a3f-10ba-441d-813a-779ddcd3c50e"]},{"id":"ITEM-2","itemData":{"ISBN":"9789587191899","author":[{"dropping-particle":"","family":"Gómez","given":"Mauricio","non-dropping-particle":"","parse-names":false,"suffix":""},{"dropping-particle":"","family":"Ospina","given":"Carlos Mario","non-dropping-particle":"","parse-names":false,"suffix":""}],"id":"ITEM-2","issued":{"date-parts":[["2009"]]},"publisher":"Universidad de Antioquia y Universidad Nacional de Colombia","publisher-place":"Medellín","title":"Avances interdisciplinarios para una comprensión crítica de la contabilidad: textos paradigmáticos de las corrientes heterodoxas","type":"book"},"uris":["http://www.mendeley.com/documents/?uuid=7f27cbf7-b67f-4bb0-b022-af88e7c93fbb"]}],"mendeley":{"formattedCitation":"(Chapman et al., 2009; Gómez y Ospina, 2009)","plainTextFormattedCitation":"(Chapman et al., 2009; Gómez y Ospina, 2009)","previouslyFormattedCitation":"(Chapman et al., 2009; Gómez y Ospina, 2009)"},"properties":{"noteIndex":0},"schema":"https://github.com/citation-style-language/schema/raw/master/csl-citation.json"}</w:instrText>
      </w:r>
      <w:r w:rsidR="00DD70D5" w:rsidRPr="68675208">
        <w:fldChar w:fldCharType="separate"/>
      </w:r>
      <w:r w:rsidR="0023715B" w:rsidRPr="0023715B">
        <w:rPr>
          <w:noProof/>
        </w:rPr>
        <w:t>(Chapman et al., 2009; Gómez y Ospina, 2009)</w:t>
      </w:r>
      <w:r w:rsidR="00DD70D5" w:rsidRPr="68675208">
        <w:fldChar w:fldCharType="end"/>
      </w:r>
      <w:r w:rsidRPr="68675208">
        <w:t xml:space="preserve">, que </w:t>
      </w:r>
      <w:r w:rsidR="00C43C06">
        <w:t>posibilite</w:t>
      </w:r>
      <w:r w:rsidRPr="68675208">
        <w:t xml:space="preserve"> la comprensión </w:t>
      </w:r>
      <w:r w:rsidR="00C43C06">
        <w:t>su</w:t>
      </w:r>
      <w:r w:rsidRPr="68675208">
        <w:t xml:space="preserve"> uso en la evaluación del papel </w:t>
      </w:r>
      <w:r w:rsidR="00C43C06">
        <w:t xml:space="preserve">de </w:t>
      </w:r>
      <w:r w:rsidRPr="68675208">
        <w:t>la contabilidad en las formas de gobierno propias del capitalismo financiarizado</w:t>
      </w:r>
      <w:bookmarkStart w:id="6" w:name="_Toc26832212"/>
      <w:r w:rsidRPr="68675208">
        <w:t>.</w:t>
      </w:r>
      <w:r w:rsidR="00E30D65">
        <w:t xml:space="preserve"> De allí</w:t>
      </w:r>
      <w:r w:rsidRPr="68675208">
        <w:t xml:space="preserve">, surge la cuestión por </w:t>
      </w:r>
      <w:r w:rsidRPr="68675208">
        <w:rPr>
          <w:i/>
          <w:iCs/>
        </w:rPr>
        <w:t>¿Qué se conoce en la literatura académica sobre la aplicación la teoría de Michel Foucault a problemas de investigación contable?</w:t>
      </w:r>
    </w:p>
    <w:p w14:paraId="34B4384E" w14:textId="5DFE7342" w:rsidR="00DD70D5" w:rsidRPr="00E26E72" w:rsidRDefault="00906031" w:rsidP="00BB5444">
      <w:pPr>
        <w:pStyle w:val="Ttulo1"/>
        <w:numPr>
          <w:ilvl w:val="0"/>
          <w:numId w:val="9"/>
        </w:numPr>
        <w:rPr>
          <w:rFonts w:asciiTheme="minorHAnsi" w:hAnsiTheme="minorHAnsi" w:cstheme="minorHAnsi"/>
          <w:sz w:val="24"/>
          <w:szCs w:val="24"/>
          <w:lang w:eastAsia="es-ES_tradnl"/>
        </w:rPr>
      </w:pPr>
      <w:bookmarkStart w:id="7" w:name="_Toc87892827"/>
      <w:r w:rsidRPr="00E26E72">
        <w:rPr>
          <w:rFonts w:asciiTheme="minorHAnsi" w:hAnsiTheme="minorHAnsi" w:cstheme="minorHAnsi"/>
          <w:sz w:val="24"/>
          <w:szCs w:val="24"/>
          <w:lang w:eastAsia="es-ES_tradnl"/>
        </w:rPr>
        <w:t>METODOLOGÍA</w:t>
      </w:r>
      <w:bookmarkEnd w:id="6"/>
      <w:bookmarkEnd w:id="7"/>
      <w:r w:rsidRPr="00E26E72">
        <w:rPr>
          <w:rFonts w:asciiTheme="minorHAnsi" w:hAnsiTheme="minorHAnsi" w:cstheme="minorHAnsi"/>
          <w:sz w:val="24"/>
          <w:szCs w:val="24"/>
          <w:lang w:eastAsia="es-ES_tradnl"/>
        </w:rPr>
        <w:t xml:space="preserve"> </w:t>
      </w:r>
    </w:p>
    <w:p w14:paraId="43C51F16" w14:textId="564639A2" w:rsidR="007628A5" w:rsidRPr="0054270A" w:rsidRDefault="00A979BD" w:rsidP="68675208">
      <w:pPr>
        <w:jc w:val="both"/>
      </w:pPr>
      <w:sdt>
        <w:sdtPr>
          <w:tag w:val="goog_rdk_2"/>
          <w:id w:val="23274062"/>
          <w:placeholder>
            <w:docPart w:val="DefaultPlaceholder_1081868574"/>
          </w:placeholder>
        </w:sdtPr>
        <w:sdtEndPr/>
        <w:sdtContent/>
      </w:sdt>
      <w:r w:rsidR="68675208" w:rsidRPr="68675208">
        <w:rPr>
          <w:rFonts w:eastAsia="Ancizar Sans"/>
        </w:rPr>
        <w:t xml:space="preserve">El propósito de esta revisión es combinar dos maneras de </w:t>
      </w:r>
      <w:r w:rsidR="00231BE5">
        <w:rPr>
          <w:rFonts w:eastAsia="Ancizar Sans"/>
        </w:rPr>
        <w:t>revisar</w:t>
      </w:r>
      <w:r w:rsidR="68675208" w:rsidRPr="68675208">
        <w:rPr>
          <w:rFonts w:eastAsia="Ancizar Sans"/>
        </w:rPr>
        <w:t xml:space="preserve"> el corpus: por un lado, realizar </w:t>
      </w:r>
      <w:r w:rsidR="00E30D65">
        <w:rPr>
          <w:rFonts w:eastAsia="Ancizar Sans"/>
        </w:rPr>
        <w:t>un</w:t>
      </w:r>
      <w:r w:rsidR="68675208" w:rsidRPr="68675208">
        <w:rPr>
          <w:rFonts w:eastAsia="Ancizar Sans"/>
        </w:rPr>
        <w:t xml:space="preserve"> </w:t>
      </w:r>
      <w:r w:rsidR="68675208" w:rsidRPr="68675208">
        <w:rPr>
          <w:rFonts w:eastAsia="Ancizar Sans"/>
          <w:i/>
          <w:iCs/>
        </w:rPr>
        <w:t>estudio de alcance (</w:t>
      </w:r>
      <w:proofErr w:type="spellStart"/>
      <w:r w:rsidR="68675208" w:rsidRPr="68675208">
        <w:rPr>
          <w:rFonts w:eastAsia="Ancizar Sans"/>
          <w:i/>
          <w:iCs/>
        </w:rPr>
        <w:t>Scoping</w:t>
      </w:r>
      <w:proofErr w:type="spellEnd"/>
      <w:r w:rsidR="68675208" w:rsidRPr="68675208">
        <w:rPr>
          <w:rFonts w:eastAsia="Ancizar Sans"/>
          <w:i/>
          <w:iCs/>
        </w:rPr>
        <w:t xml:space="preserve"> </w:t>
      </w:r>
      <w:proofErr w:type="spellStart"/>
      <w:r w:rsidR="68675208" w:rsidRPr="68675208">
        <w:rPr>
          <w:rFonts w:eastAsia="Ancizar Sans"/>
          <w:i/>
          <w:iCs/>
        </w:rPr>
        <w:t>Review</w:t>
      </w:r>
      <w:proofErr w:type="spellEnd"/>
      <w:r w:rsidR="68675208" w:rsidRPr="68675208">
        <w:rPr>
          <w:rFonts w:eastAsia="Ancizar Sans"/>
          <w:i/>
          <w:iCs/>
        </w:rPr>
        <w:t>)</w:t>
      </w:r>
      <w:r w:rsidR="68675208" w:rsidRPr="68675208">
        <w:rPr>
          <w:rFonts w:eastAsia="Ancizar Sans"/>
        </w:rPr>
        <w:t xml:space="preserve"> que podría ser percibido como una etapa de un proceso de revisión total, cuyo objetivo es producir una revisión sistemática de literatura completa</w:t>
      </w:r>
      <w:r w:rsidR="00E30D65">
        <w:rPr>
          <w:rFonts w:eastAsia="Ancizar Sans"/>
        </w:rPr>
        <w:t>, como lo muestra la Ilustración 1</w:t>
      </w:r>
      <w:r w:rsidR="68675208" w:rsidRPr="68675208">
        <w:rPr>
          <w:rFonts w:eastAsia="Ancizar Sans"/>
        </w:rPr>
        <w:t xml:space="preserve">, dado que “el objetivo de identificar las brechas en la base de evidencia existente es claramente importante, y puede o no conducir en última instancia a una revisión sistemática completa” </w:t>
      </w:r>
      <w:r w:rsidR="007628A5" w:rsidRPr="68675208">
        <w:rPr>
          <w:rFonts w:eastAsia="Ancizar Sans"/>
        </w:rPr>
        <w:fldChar w:fldCharType="begin" w:fldLock="1"/>
      </w:r>
      <w:r w:rsidR="0023715B">
        <w:rPr>
          <w:rFonts w:eastAsia="Ancizar Sans"/>
        </w:rPr>
        <w:instrText>ADDIN CSL_CITATION {"citationItems":[{"id":"ITEM-1","itemData":{"DOI":"10.1080/1364557032000119616","ISSN":"1364-5579","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framework","type":"article-journal","volume":"8"},"locator":"22","uris":["http://www.mendeley.com/documents/?uuid=a1b74fcb-e66a-415d-8024-a0b76ff7e807"]}],"mendeley":{"formattedCitation":"(Arksey y O’Malley, 2005, p. 22)","plainTextFormattedCitation":"(Arksey y O’Malley, 2005, p. 22)","previouslyFormattedCitation":"(Arksey y O’Malley, 2005, p. 22)"},"properties":{"noteIndex":0},"schema":"https://github.com/citation-style-language/schema/raw/master/csl-citation.json"}</w:instrText>
      </w:r>
      <w:r w:rsidR="007628A5" w:rsidRPr="68675208">
        <w:rPr>
          <w:rFonts w:eastAsia="Ancizar Sans"/>
        </w:rPr>
        <w:fldChar w:fldCharType="separate"/>
      </w:r>
      <w:r w:rsidR="0023715B" w:rsidRPr="0023715B">
        <w:rPr>
          <w:rFonts w:eastAsia="Ancizar Sans"/>
          <w:noProof/>
        </w:rPr>
        <w:t>(Arksey y O’Malley, 2005, p. 22)</w:t>
      </w:r>
      <w:r w:rsidR="007628A5" w:rsidRPr="68675208">
        <w:rPr>
          <w:rFonts w:eastAsia="Ancizar Sans"/>
        </w:rPr>
        <w:fldChar w:fldCharType="end"/>
      </w:r>
      <w:r w:rsidR="68675208" w:rsidRPr="68675208">
        <w:rPr>
          <w:rFonts w:eastAsia="Ancizar Sans"/>
        </w:rPr>
        <w:t>.</w:t>
      </w:r>
    </w:p>
    <w:p w14:paraId="6D6C8708" w14:textId="6EC8048F" w:rsidR="00504043" w:rsidRPr="007506CF" w:rsidRDefault="00504043" w:rsidP="007506CF">
      <w:pPr>
        <w:pBdr>
          <w:top w:val="nil"/>
          <w:left w:val="nil"/>
          <w:bottom w:val="nil"/>
          <w:right w:val="nil"/>
          <w:between w:val="nil"/>
        </w:pBdr>
        <w:spacing w:after="0"/>
        <w:rPr>
          <w:rFonts w:eastAsia="Ancizar Sans"/>
          <w:i/>
          <w:color w:val="000000"/>
        </w:rPr>
      </w:pPr>
      <w:r w:rsidRPr="00592BD9">
        <w:rPr>
          <w:rFonts w:eastAsia="Ancizar Sans"/>
          <w:i/>
          <w:color w:val="000000" w:themeColor="text1"/>
        </w:rPr>
        <w:lastRenderedPageBreak/>
        <w:t>Ilustración 1</w:t>
      </w:r>
      <w:r w:rsidR="00586532">
        <w:rPr>
          <w:rFonts w:eastAsia="Ancizar Sans"/>
          <w:i/>
          <w:color w:val="000000" w:themeColor="text1"/>
        </w:rPr>
        <w:t>.</w:t>
      </w:r>
      <w:r w:rsidRPr="00592BD9">
        <w:rPr>
          <w:rFonts w:eastAsia="Ancizar Sans"/>
          <w:i/>
          <w:color w:val="000000" w:themeColor="text1"/>
        </w:rPr>
        <w:t xml:space="preserve"> </w:t>
      </w:r>
      <w:r w:rsidR="007029CE">
        <w:rPr>
          <w:rFonts w:eastAsia="Ancizar Sans"/>
          <w:i/>
          <w:color w:val="000000" w:themeColor="text1"/>
        </w:rPr>
        <w:t>Ciclo</w:t>
      </w:r>
      <w:r w:rsidRPr="00592BD9">
        <w:rPr>
          <w:rFonts w:eastAsia="Ancizar Sans"/>
          <w:i/>
          <w:color w:val="000000" w:themeColor="text1"/>
        </w:rPr>
        <w:t xml:space="preserve"> de </w:t>
      </w:r>
      <w:r w:rsidR="007029CE">
        <w:rPr>
          <w:rFonts w:eastAsia="Ancizar Sans"/>
          <w:i/>
          <w:color w:val="000000" w:themeColor="text1"/>
        </w:rPr>
        <w:t>una</w:t>
      </w:r>
      <w:r w:rsidRPr="00592BD9">
        <w:rPr>
          <w:rFonts w:eastAsia="Ancizar Sans"/>
          <w:i/>
          <w:color w:val="000000" w:themeColor="text1"/>
        </w:rPr>
        <w:t xml:space="preserve"> </w:t>
      </w:r>
      <w:proofErr w:type="spellStart"/>
      <w:r w:rsidRPr="00592BD9">
        <w:rPr>
          <w:rFonts w:eastAsia="Ancizar Sans"/>
          <w:i/>
          <w:color w:val="000000" w:themeColor="text1"/>
        </w:rPr>
        <w:t>Scoping</w:t>
      </w:r>
      <w:proofErr w:type="spellEnd"/>
      <w:r w:rsidRPr="00592BD9">
        <w:rPr>
          <w:rFonts w:eastAsia="Ancizar Sans"/>
          <w:i/>
          <w:color w:val="000000" w:themeColor="text1"/>
        </w:rPr>
        <w:t xml:space="preserve"> </w:t>
      </w:r>
      <w:proofErr w:type="spellStart"/>
      <w:r w:rsidRPr="00592BD9">
        <w:rPr>
          <w:rFonts w:eastAsia="Ancizar Sans"/>
          <w:i/>
          <w:color w:val="000000" w:themeColor="text1"/>
        </w:rPr>
        <w:t>review</w:t>
      </w:r>
      <w:proofErr w:type="spellEnd"/>
      <w:r w:rsidRPr="00592BD9">
        <w:rPr>
          <w:rFonts w:eastAsia="Ancizar Sans"/>
          <w:i/>
          <w:color w:val="000000" w:themeColor="text1"/>
        </w:rPr>
        <w:t xml:space="preserve"> </w:t>
      </w:r>
      <w:r w:rsidR="007506CF">
        <w:rPr>
          <w:rFonts w:eastAsia="Ancizar Sans"/>
          <w:noProof/>
        </w:rPr>
        <w:drawing>
          <wp:inline distT="0" distB="0" distL="0" distR="0" wp14:anchorId="4AF87A4C" wp14:editId="6A7FADD9">
            <wp:extent cx="5744845" cy="2857873"/>
            <wp:effectExtent l="0" t="0" r="0" b="0"/>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77853BA2" w14:textId="2D37A4E8" w:rsidR="00504043" w:rsidRPr="004C174D" w:rsidRDefault="00504043" w:rsidP="00504043">
      <w:pPr>
        <w:spacing w:after="0"/>
        <w:rPr>
          <w:rFonts w:eastAsia="Ancizar Sans"/>
        </w:rPr>
      </w:pPr>
      <w:r w:rsidRPr="3A1A01E4">
        <w:rPr>
          <w:rFonts w:eastAsia="Ancizar Sans"/>
        </w:rPr>
        <w:t xml:space="preserve">Fuente: Elaboración propia con base en </w:t>
      </w:r>
      <w:r w:rsidRPr="3A1A01E4">
        <w:rPr>
          <w:rFonts w:eastAsia="Ancizar Sans"/>
        </w:rPr>
        <w:fldChar w:fldCharType="begin" w:fldLock="1"/>
      </w:r>
      <w:r w:rsidR="0023715B">
        <w:rPr>
          <w:rFonts w:eastAsia="Ancizar Sans"/>
        </w:rPr>
        <w:instrText>ADDIN CSL_CITATION {"citationItems":[{"id":"ITEM-1","itemData":{"DOI":"10.1080/1364557032000119616","ISSN":"1364-5579","author":[{"dropping-particle":"","family":"Arksey","given":"Hilary","non-dropping-particle":"","parse-names":false,"suffix":""},{"dropping-particle":"","family":"O'Malley","given":"Lisa","non-dropping-particle":"","parse-names":false,"suffix":""}],"container-title":"International Journal of Social Research Methodology","id":"ITEM-1","issue":"1","issued":{"date-parts":[["2005","2","1"]]},"note":"doi: 10.1080/1364557032000119616","page":"19-32","publisher":"Routledge","title":"Scoping studies: towards a methodological framework","type":"article-journal","volume":"8"},"uris":["http://www.mendeley.com/documents/?uuid=a1b74fcb-e66a-415d-8024-a0b76ff7e807"]}],"mendeley":{"formattedCitation":"(Arksey y O’Malley, 2005)","plainTextFormattedCitation":"(Arksey y O’Malley, 2005)","previouslyFormattedCitation":"(Arksey y O’Malley, 2005)"},"properties":{"noteIndex":0},"schema":"https://github.com/citation-style-language/schema/raw/master/csl-citation.json"}</w:instrText>
      </w:r>
      <w:r w:rsidRPr="3A1A01E4">
        <w:rPr>
          <w:rFonts w:eastAsia="Ancizar Sans"/>
        </w:rPr>
        <w:fldChar w:fldCharType="separate"/>
      </w:r>
      <w:r w:rsidR="0023715B" w:rsidRPr="0023715B">
        <w:rPr>
          <w:rFonts w:eastAsia="Ancizar Sans"/>
          <w:noProof/>
        </w:rPr>
        <w:t>(Arksey y O’Malley, 2005)</w:t>
      </w:r>
      <w:r w:rsidRPr="3A1A01E4">
        <w:rPr>
          <w:rFonts w:eastAsia="Ancizar Sans"/>
        </w:rPr>
        <w:fldChar w:fldCharType="end"/>
      </w:r>
      <w:r w:rsidR="0014219C">
        <w:rPr>
          <w:rFonts w:eastAsia="Ancizar Sans"/>
        </w:rPr>
        <w:t>.</w:t>
      </w:r>
    </w:p>
    <w:p w14:paraId="6F87B0D7" w14:textId="7370D037" w:rsidR="00A16983" w:rsidRPr="004C174D" w:rsidRDefault="005B18D6" w:rsidP="00A16983">
      <w:pPr>
        <w:spacing w:before="280" w:after="280"/>
        <w:jc w:val="both"/>
        <w:rPr>
          <w:rFonts w:eastAsia="Ancizar Sans"/>
        </w:rPr>
      </w:pPr>
      <w:r>
        <w:rPr>
          <w:rFonts w:eastAsia="Ancizar Sans"/>
        </w:rPr>
        <w:t>Aunque</w:t>
      </w:r>
      <w:r w:rsidR="00A16983" w:rsidRPr="3A1A01E4">
        <w:rPr>
          <w:rFonts w:eastAsia="Ancizar Sans"/>
        </w:rPr>
        <w:t xml:space="preserve"> el estudio de alcance podría concebirse como un método en sí mismo que conduzca a la publicación y difusión de los resultados de la investigación en un campo de investigación en particular, se </w:t>
      </w:r>
      <w:r w:rsidR="00E30D65">
        <w:rPr>
          <w:rFonts w:eastAsia="Ancizar Sans"/>
        </w:rPr>
        <w:t>limita</w:t>
      </w:r>
      <w:r w:rsidR="00A16983" w:rsidRPr="3A1A01E4">
        <w:rPr>
          <w:rFonts w:eastAsia="Ancizar Sans"/>
        </w:rPr>
        <w:t xml:space="preserve"> el ejercicio a seleccionar y analizar las revisiones previamente desarrolladas, para entregar u</w:t>
      </w:r>
      <w:r w:rsidR="00A16983" w:rsidRPr="63EF4B96">
        <w:t xml:space="preserve">na </w:t>
      </w:r>
      <w:r w:rsidR="00A16983" w:rsidRPr="00FE625F">
        <w:rPr>
          <w:i/>
          <w:iCs/>
        </w:rPr>
        <w:t>revisión general</w:t>
      </w:r>
      <w:r w:rsidR="00A16983">
        <w:rPr>
          <w:i/>
          <w:iCs/>
        </w:rPr>
        <w:t>,</w:t>
      </w:r>
      <w:r w:rsidR="00A16983" w:rsidRPr="63EF4B96">
        <w:t xml:space="preserve"> es</w:t>
      </w:r>
      <w:r w:rsidR="00A16983">
        <w:t xml:space="preserve"> decir,</w:t>
      </w:r>
      <w:r w:rsidR="00A16983" w:rsidRPr="63EF4B96">
        <w:t xml:space="preserve"> una forma de </w:t>
      </w:r>
      <w:r w:rsidR="00A16983">
        <w:t>“</w:t>
      </w:r>
      <w:r w:rsidR="00A16983" w:rsidRPr="63EF4B96">
        <w:t xml:space="preserve">identificar, evaluar y sintetizar las pruebas de las revisiones sistemáticas existentes. Como tal, son capaces de presentar los resultados de las revisiones sistemáticas existentes” </w:t>
      </w:r>
      <w:r w:rsidR="00A16983" w:rsidRPr="63EF4B96">
        <w:fldChar w:fldCharType="begin" w:fldLock="1"/>
      </w:r>
      <w:r w:rsidR="0019663E">
        <w:instrText>ADDIN CSL_CITATION {"citationItems":[{"id":"ITEM-1","itemData":{"ISBN":"9781446242391","author":[{"dropping-particle":"","family":"Jesson","given":"J","non-dropping-particle":"","parse-names":false,"suffix":""},{"dropping-particle":"","family":"Matheson","given":"L","non-dropping-particle":"","parse-names":false,"suffix":""},{"dropping-particle":"","family":"Lacey","given":"F M","non-dropping-particle":"","parse-names":false,"suffix":""}],"id":"ITEM-1","issued":{"date-parts":[["2011"]]},"publisher":"SAGE Publications","title":"Doing Your Literature Review: Traditional and Systematic Techniques","type":"book"},"locator":"155","uris":["http://www.mendeley.com/documents/?uuid=850c9f9f-b29c-4de0-8397-622693dc7eb9","http://www.mendeley.com/documents/?uuid=5f2b6e0a-0ace-41f7-843d-856eb92d1935"]}],"mendeley":{"formattedCitation":"(Jesson et al., 2011, p. 155)","plainTextFormattedCitation":"(Jesson et al., 2011, p. 155)","previouslyFormattedCitation":"(Jesson et al., 2011, p. 155)"},"properties":{"noteIndex":0},"schema":"https://github.com/citation-style-language/schema/raw/master/csl-citation.json"}</w:instrText>
      </w:r>
      <w:r w:rsidR="00A16983" w:rsidRPr="63EF4B96">
        <w:fldChar w:fldCharType="separate"/>
      </w:r>
      <w:r w:rsidR="0023715B" w:rsidRPr="0023715B">
        <w:rPr>
          <w:noProof/>
        </w:rPr>
        <w:t>(Jesson et al., 2011, p. 155)</w:t>
      </w:r>
      <w:r w:rsidR="00A16983" w:rsidRPr="63EF4B96">
        <w:fldChar w:fldCharType="end"/>
      </w:r>
      <w:r w:rsidR="00E30D65">
        <w:t>,</w:t>
      </w:r>
      <w:r w:rsidR="00A16983">
        <w:t xml:space="preserve"> </w:t>
      </w:r>
      <w:r w:rsidR="00E30D65">
        <w:t xml:space="preserve">como se muestra en la Ilustración 2, </w:t>
      </w:r>
      <w:r w:rsidR="00A16983">
        <w:t>e</w:t>
      </w:r>
      <w:r w:rsidR="00A16983" w:rsidRPr="63EF4B96">
        <w:t>stas exploraciones se conocen como revisiones paraguas (</w:t>
      </w:r>
      <w:proofErr w:type="spellStart"/>
      <w:r w:rsidR="00A16983" w:rsidRPr="63EF4B96">
        <w:rPr>
          <w:i/>
        </w:rPr>
        <w:t>Umbrella</w:t>
      </w:r>
      <w:proofErr w:type="spellEnd"/>
      <w:r w:rsidR="00A16983" w:rsidRPr="63EF4B96">
        <w:rPr>
          <w:i/>
        </w:rPr>
        <w:t xml:space="preserve"> </w:t>
      </w:r>
      <w:proofErr w:type="spellStart"/>
      <w:r w:rsidR="00A16983" w:rsidRPr="63EF4B96">
        <w:rPr>
          <w:i/>
        </w:rPr>
        <w:t>review</w:t>
      </w:r>
      <w:proofErr w:type="spellEnd"/>
      <w:r w:rsidR="00A16983" w:rsidRPr="63EF4B96">
        <w:t>).</w:t>
      </w:r>
    </w:p>
    <w:p w14:paraId="7C34B99E" w14:textId="0AD0E5D8" w:rsidR="00DD70D5" w:rsidRDefault="68675208" w:rsidP="68675208">
      <w:pPr>
        <w:spacing w:before="100" w:beforeAutospacing="1" w:after="100" w:afterAutospacing="1"/>
        <w:jc w:val="both"/>
      </w:pPr>
      <w:r>
        <w:t>Para lograr</w:t>
      </w:r>
      <w:r w:rsidR="00E30D65">
        <w:t>lo</w:t>
      </w:r>
      <w:r>
        <w:t xml:space="preserve">, se propone una exploración de los trabajos alojados en </w:t>
      </w:r>
      <w:r w:rsidR="00E30D65">
        <w:t xml:space="preserve">las </w:t>
      </w:r>
      <w:r>
        <w:t xml:space="preserve">bases de datos </w:t>
      </w:r>
      <w:proofErr w:type="spellStart"/>
      <w:r w:rsidRPr="00E30D65">
        <w:rPr>
          <w:i/>
          <w:iCs/>
        </w:rPr>
        <w:t>Science</w:t>
      </w:r>
      <w:proofErr w:type="spellEnd"/>
      <w:r w:rsidRPr="00E30D65">
        <w:rPr>
          <w:i/>
          <w:iCs/>
        </w:rPr>
        <w:t xml:space="preserve"> Direct, </w:t>
      </w:r>
      <w:proofErr w:type="spellStart"/>
      <w:r w:rsidRPr="00E30D65">
        <w:rPr>
          <w:i/>
          <w:iCs/>
        </w:rPr>
        <w:t>Scopus</w:t>
      </w:r>
      <w:proofErr w:type="spellEnd"/>
      <w:r w:rsidRPr="00E30D65">
        <w:rPr>
          <w:i/>
          <w:iCs/>
        </w:rPr>
        <w:t xml:space="preserve"> y EBSCO</w:t>
      </w:r>
      <w:r>
        <w:t xml:space="preserve">. Este tipo de búsqueda </w:t>
      </w:r>
      <w:r w:rsidR="00615C4B">
        <w:t>constituye</w:t>
      </w:r>
      <w:r w:rsidR="00E30D65">
        <w:t xml:space="preserve"> la</w:t>
      </w:r>
      <w:r>
        <w:t xml:space="preserve"> </w:t>
      </w:r>
      <w:proofErr w:type="spellStart"/>
      <w:r w:rsidR="00E30D65" w:rsidRPr="63EF4B96">
        <w:rPr>
          <w:i/>
        </w:rPr>
        <w:t>Umbrella</w:t>
      </w:r>
      <w:proofErr w:type="spellEnd"/>
      <w:r w:rsidR="00E30D65" w:rsidRPr="63EF4B96">
        <w:rPr>
          <w:i/>
        </w:rPr>
        <w:t xml:space="preserve"> </w:t>
      </w:r>
      <w:proofErr w:type="spellStart"/>
      <w:r w:rsidRPr="68675208">
        <w:rPr>
          <w:i/>
          <w:iCs/>
        </w:rPr>
        <w:t>review</w:t>
      </w:r>
      <w:proofErr w:type="spellEnd"/>
      <w:r>
        <w:t xml:space="preserve">, es decir, aquella que se produce cuando ya se han realizado revisiones sistemáticas sobre </w:t>
      </w:r>
      <w:r w:rsidR="00E30D65">
        <w:t>el</w:t>
      </w:r>
      <w:r>
        <w:t xml:space="preserve"> tema y es posible iniciar la fase de analizar las propias revisiones como un conjunto de conocimientos. </w:t>
      </w:r>
    </w:p>
    <w:p w14:paraId="1FE4220C" w14:textId="69C0EEC7" w:rsidR="008202F6" w:rsidRPr="004C174D" w:rsidRDefault="008202F6" w:rsidP="008202F6">
      <w:pPr>
        <w:pStyle w:val="Descripcin"/>
        <w:spacing w:after="0"/>
      </w:pPr>
      <w:r w:rsidRPr="24060685">
        <w:rPr>
          <w:color w:val="auto"/>
          <w:sz w:val="24"/>
          <w:szCs w:val="24"/>
        </w:rPr>
        <w:t xml:space="preserve">Ilustración </w:t>
      </w:r>
      <w:r w:rsidR="00F92DC3">
        <w:rPr>
          <w:color w:val="auto"/>
          <w:sz w:val="24"/>
          <w:szCs w:val="24"/>
        </w:rPr>
        <w:t>2</w:t>
      </w:r>
      <w:r w:rsidRPr="24060685">
        <w:rPr>
          <w:color w:val="auto"/>
          <w:sz w:val="24"/>
          <w:szCs w:val="24"/>
        </w:rPr>
        <w:t xml:space="preserve">. </w:t>
      </w:r>
      <w:r w:rsidR="003A4E35">
        <w:rPr>
          <w:color w:val="auto"/>
          <w:sz w:val="24"/>
          <w:szCs w:val="24"/>
        </w:rPr>
        <w:t>Elementos</w:t>
      </w:r>
      <w:r w:rsidR="007029CE">
        <w:rPr>
          <w:color w:val="auto"/>
          <w:sz w:val="24"/>
          <w:szCs w:val="24"/>
        </w:rPr>
        <w:t>/Etapas</w:t>
      </w:r>
      <w:r w:rsidRPr="24060685">
        <w:rPr>
          <w:color w:val="auto"/>
          <w:sz w:val="24"/>
          <w:szCs w:val="24"/>
        </w:rPr>
        <w:t xml:space="preserve"> de </w:t>
      </w:r>
      <w:r w:rsidR="007029CE">
        <w:rPr>
          <w:color w:val="auto"/>
          <w:sz w:val="24"/>
          <w:szCs w:val="24"/>
        </w:rPr>
        <w:t>una</w:t>
      </w:r>
      <w:r w:rsidRPr="24060685">
        <w:rPr>
          <w:color w:val="auto"/>
          <w:sz w:val="24"/>
          <w:szCs w:val="24"/>
        </w:rPr>
        <w:t xml:space="preserve"> </w:t>
      </w:r>
      <w:proofErr w:type="spellStart"/>
      <w:r w:rsidRPr="24060685">
        <w:rPr>
          <w:color w:val="auto"/>
          <w:sz w:val="24"/>
          <w:szCs w:val="24"/>
        </w:rPr>
        <w:t>Umbrella</w:t>
      </w:r>
      <w:proofErr w:type="spellEnd"/>
      <w:r w:rsidRPr="24060685">
        <w:rPr>
          <w:color w:val="auto"/>
          <w:sz w:val="24"/>
          <w:szCs w:val="24"/>
        </w:rPr>
        <w:t xml:space="preserve"> </w:t>
      </w:r>
      <w:proofErr w:type="spellStart"/>
      <w:r w:rsidRPr="24060685">
        <w:rPr>
          <w:color w:val="auto"/>
          <w:sz w:val="24"/>
          <w:szCs w:val="24"/>
        </w:rPr>
        <w:t>review</w:t>
      </w:r>
      <w:proofErr w:type="spellEnd"/>
      <w:r w:rsidRPr="24060685">
        <w:rPr>
          <w:color w:val="auto"/>
          <w:sz w:val="24"/>
          <w:szCs w:val="24"/>
        </w:rPr>
        <w:t xml:space="preserve"> </w:t>
      </w:r>
      <w:r w:rsidRPr="004C174D">
        <w:rPr>
          <w:rFonts w:cstheme="minorHAnsi"/>
          <w:noProof/>
        </w:rPr>
        <w:drawing>
          <wp:inline distT="0" distB="0" distL="0" distR="0" wp14:anchorId="6E04BB92" wp14:editId="1FE545F1">
            <wp:extent cx="6266180" cy="2654489"/>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DFAEA8C" w14:textId="1D36EDF5" w:rsidR="008202F6" w:rsidRDefault="68675208" w:rsidP="008202F6">
      <w:r>
        <w:lastRenderedPageBreak/>
        <w:t xml:space="preserve">Fuente: Elaboración propia con base en </w:t>
      </w:r>
      <w:r w:rsidR="008202F6">
        <w:fldChar w:fldCharType="begin" w:fldLock="1"/>
      </w:r>
      <w:r w:rsidR="00962D29">
        <w:instrText>ADDIN CSL_CITATION {"citationItems":[{"id":"ITEM-1","itemData":{"DOI":"10.1097/XEB.0000000000000055","abstract":"Aims: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author":[{"dropping-particle":"","family":"Aromataris","given":"Edoardo","non-dropping-particle":"","parse-names":false,"suffix":""},{"dropping-particle":"","family":"Fernandez","given":"Ritin","non-dropping-particle":"","parse-names":false,"suffix":""},{"dropping-particle":"","family":"Godfrey","given":"Christina M.","non-dropping-particle":"","parse-names":false,"suffix":""},{"dropping-particle":"","family":"Holly","given":"Cheryl","non-dropping-particle":"","parse-names":false,"suffix":""},{"dropping-particle":"","family":"Khalil","given":"Hanan","non-dropping-particle":"","parse-names":false,"suffix":""},{"dropping-particle":"","family":"Tungpunkom","given":"Patraporn","non-dropping-particle":"","parse-names":false,"suffix":""}],"container-title":"International Journal of Evidence-Based Healthcare","id":"ITEM-1","issue":"3","issued":{"date-parts":[["2015","9"]]},"page":"132-140","publisher":"Lippincott Williams and Wilkins","title":"Summarizing systematic reviews: Methodological development, conduct and reporting of an umbrella review approach","type":"article-journal","volume":"13"},"uris":["http://www.mendeley.com/documents/?uuid=739f078d-336b-4f3e-8609-749d5538f8d1","http://www.mendeley.com/documents/?uuid=d2c5275d-83ef-4eee-9515-1874a576dde1"]}],"mendeley":{"formattedCitation":"(Aromataris et al., 2015a)","plainTextFormattedCitation":"(Aromataris et al., 2015a)","previouslyFormattedCitation":"(Aromataris et al., 2015a)"},"properties":{"noteIndex":0},"schema":"https://github.com/citation-style-language/schema/raw/master/csl-citation.json"}</w:instrText>
      </w:r>
      <w:r w:rsidR="008202F6">
        <w:fldChar w:fldCharType="separate"/>
      </w:r>
      <w:r w:rsidR="00E03420" w:rsidRPr="00E03420">
        <w:rPr>
          <w:noProof/>
        </w:rPr>
        <w:t>(Aromataris et al., 2015a)</w:t>
      </w:r>
      <w:r w:rsidR="008202F6">
        <w:fldChar w:fldCharType="end"/>
      </w:r>
      <w:r w:rsidR="0014219C">
        <w:t>.</w:t>
      </w:r>
      <w:r>
        <w:t xml:space="preserve"> </w:t>
      </w:r>
    </w:p>
    <w:p w14:paraId="5F6F59EF" w14:textId="0EE26BFD" w:rsidR="00BB6D3A" w:rsidRPr="00961164" w:rsidRDefault="68675208" w:rsidP="00961164">
      <w:pPr>
        <w:pStyle w:val="Ttulo2"/>
        <w:numPr>
          <w:ilvl w:val="1"/>
          <w:numId w:val="9"/>
        </w:numPr>
        <w:rPr>
          <w:rFonts w:asciiTheme="minorHAnsi" w:hAnsiTheme="minorHAnsi" w:cstheme="minorHAnsi"/>
          <w:b/>
          <w:bCs/>
          <w:i/>
          <w:iCs/>
          <w:color w:val="auto"/>
          <w:sz w:val="24"/>
          <w:szCs w:val="24"/>
        </w:rPr>
      </w:pPr>
      <w:bookmarkStart w:id="8" w:name="_Toc87892828"/>
      <w:r w:rsidRPr="00961164">
        <w:rPr>
          <w:rFonts w:asciiTheme="minorHAnsi" w:hAnsiTheme="minorHAnsi" w:cstheme="minorHAnsi"/>
          <w:b/>
          <w:bCs/>
          <w:i/>
          <w:iCs/>
          <w:color w:val="auto"/>
          <w:sz w:val="24"/>
          <w:szCs w:val="24"/>
        </w:rPr>
        <w:t>La pregunta PICOT</w:t>
      </w:r>
      <w:bookmarkEnd w:id="8"/>
    </w:p>
    <w:p w14:paraId="61FC674F" w14:textId="77777777" w:rsidR="00615C4B" w:rsidRDefault="00615C4B" w:rsidP="68675208">
      <w:pPr>
        <w:numPr>
          <w:ilvl w:val="0"/>
          <w:numId w:val="6"/>
        </w:numPr>
        <w:spacing w:after="100" w:afterAutospacing="1"/>
        <w:jc w:val="both"/>
      </w:pPr>
    </w:p>
    <w:p w14:paraId="4EF9ED68" w14:textId="7B540979" w:rsidR="00DD70D5" w:rsidRPr="00E104D8" w:rsidRDefault="68675208" w:rsidP="68675208">
      <w:pPr>
        <w:numPr>
          <w:ilvl w:val="0"/>
          <w:numId w:val="6"/>
        </w:numPr>
        <w:spacing w:after="100" w:afterAutospacing="1"/>
        <w:jc w:val="both"/>
      </w:pPr>
      <w:r w:rsidRPr="68675208">
        <w:t xml:space="preserve">Esta separación de términos se emplea para identificar los componentes de la ecuación de búsqueda, ya que “la estructura </w:t>
      </w:r>
      <w:r w:rsidRPr="68675208">
        <w:rPr>
          <w:i/>
          <w:iCs/>
        </w:rPr>
        <w:t xml:space="preserve">PICOT </w:t>
      </w:r>
      <w:r w:rsidRPr="68675208">
        <w:t xml:space="preserve">de una pregunta de investigación está dirigida a estudios de intervención, revisiones sistemáticas y metaanálisis de intervenciones”  </w:t>
      </w:r>
      <w:r w:rsidR="00690EFA" w:rsidRPr="68675208">
        <w:fldChar w:fldCharType="begin" w:fldLock="1"/>
      </w:r>
      <w:r w:rsidR="00A800AF">
        <w:instrText>ADDIN CSL_CITATION {"citationItems":[{"id":"ITEM-1","itemData":{"ISSN":"1692-7273","author":[{"dropping-particle":"","family":"Trillos-Peña","given":"Carlos Enrique","non-dropping-particle":"","parse-names":false,"suffix":""}],"container-title":"Revista Ciencias de la Salud","id":"ITEM-1","issue":"3","issued":{"date-parts":[["2017"]]},"page":"309-312","publisher":"Universidad del Rosario","title":"La pregunta, eje de la investigación. Un reto para el investigador","type":"article-journal","volume":"15"},"locator":"310","uris":["http://www.mendeley.com/documents/?uuid=01f91451-d37f-32df-924e-bc6eb43b8921","http://www.mendeley.com/documents/?uuid=081cb288-edb8-4737-90db-332926931ad5"]}],"mendeley":{"formattedCitation":"(Trillos-Peña, 2017, p. 310)","plainTextFormattedCitation":"(Trillos-Peña, 2017, p. 310)","previouslyFormattedCitation":"(Trillos-Peña, 2017, p. 310)"},"properties":{"noteIndex":0},"schema":"https://github.com/citation-style-language/schema/raw/master/csl-citation.json"}</w:instrText>
      </w:r>
      <w:r w:rsidR="00690EFA" w:rsidRPr="68675208">
        <w:fldChar w:fldCharType="separate"/>
      </w:r>
      <w:r w:rsidRPr="68675208">
        <w:rPr>
          <w:noProof/>
        </w:rPr>
        <w:t>(Trillos-Peña, 2017, p. 310)</w:t>
      </w:r>
      <w:r w:rsidR="00690EFA" w:rsidRPr="68675208">
        <w:fldChar w:fldCharType="end"/>
      </w:r>
      <w:r w:rsidRPr="68675208">
        <w:t xml:space="preserve"> lo que posibilita una búsqueda más precisa en las bases de datos académicas.  En la Tabla 1, se emplea este esquema para representar la pregunta a partir de dicha rejilla:</w:t>
      </w:r>
    </w:p>
    <w:p w14:paraId="6515A012" w14:textId="36DBDA3A" w:rsidR="00DD70D5" w:rsidRPr="00592BD9" w:rsidRDefault="00DD70D5" w:rsidP="00DD70D5">
      <w:pPr>
        <w:pStyle w:val="Descripcin"/>
        <w:keepNext/>
        <w:spacing w:after="0"/>
        <w:rPr>
          <w:rFonts w:cstheme="minorHAnsi"/>
          <w:color w:val="auto"/>
          <w:sz w:val="24"/>
          <w:szCs w:val="24"/>
        </w:rPr>
      </w:pPr>
      <w:r w:rsidRPr="00592BD9">
        <w:rPr>
          <w:rFonts w:cstheme="minorHAnsi"/>
          <w:color w:val="auto"/>
          <w:sz w:val="24"/>
          <w:szCs w:val="24"/>
        </w:rPr>
        <w:t xml:space="preserve">Tabla </w:t>
      </w:r>
      <w:r w:rsidRPr="00592BD9">
        <w:rPr>
          <w:rFonts w:cstheme="minorHAnsi"/>
          <w:color w:val="auto"/>
          <w:sz w:val="24"/>
          <w:szCs w:val="24"/>
        </w:rPr>
        <w:fldChar w:fldCharType="begin"/>
      </w:r>
      <w:r w:rsidRPr="00592BD9">
        <w:rPr>
          <w:rFonts w:cstheme="minorHAnsi"/>
          <w:color w:val="auto"/>
          <w:sz w:val="24"/>
          <w:szCs w:val="24"/>
        </w:rPr>
        <w:instrText xml:space="preserve"> SEQ Tabla \* ARABIC </w:instrText>
      </w:r>
      <w:r w:rsidRPr="00592BD9">
        <w:rPr>
          <w:rFonts w:cstheme="minorHAnsi"/>
          <w:color w:val="auto"/>
          <w:sz w:val="24"/>
          <w:szCs w:val="24"/>
        </w:rPr>
        <w:fldChar w:fldCharType="separate"/>
      </w:r>
      <w:r w:rsidRPr="00592BD9">
        <w:rPr>
          <w:rFonts w:cstheme="minorHAnsi"/>
          <w:noProof/>
          <w:color w:val="auto"/>
          <w:sz w:val="24"/>
          <w:szCs w:val="24"/>
        </w:rPr>
        <w:t>1</w:t>
      </w:r>
      <w:r w:rsidRPr="00592BD9">
        <w:rPr>
          <w:rFonts w:cstheme="minorHAnsi"/>
          <w:color w:val="auto"/>
          <w:sz w:val="24"/>
          <w:szCs w:val="24"/>
        </w:rPr>
        <w:fldChar w:fldCharType="end"/>
      </w:r>
      <w:r w:rsidR="00697BAF" w:rsidRPr="00592BD9">
        <w:rPr>
          <w:rFonts w:cstheme="minorHAnsi"/>
          <w:color w:val="auto"/>
          <w:sz w:val="24"/>
          <w:szCs w:val="24"/>
        </w:rPr>
        <w:t>.</w:t>
      </w:r>
      <w:r w:rsidRPr="00592BD9">
        <w:rPr>
          <w:rFonts w:cstheme="minorHAnsi"/>
          <w:color w:val="auto"/>
          <w:sz w:val="24"/>
          <w:szCs w:val="24"/>
        </w:rPr>
        <w:t xml:space="preserve"> Componentes de la pregunta PICO</w:t>
      </w:r>
      <w:r w:rsidR="00274123" w:rsidRPr="00592BD9">
        <w:rPr>
          <w:rFonts w:cstheme="minorHAnsi"/>
          <w:color w:val="auto"/>
          <w:sz w:val="24"/>
          <w:szCs w:val="24"/>
        </w:rPr>
        <w:t>T</w:t>
      </w:r>
    </w:p>
    <w:tbl>
      <w:tblPr>
        <w:tblStyle w:val="Tabladelista6concolores-nfasis3"/>
        <w:tblW w:w="9143" w:type="dxa"/>
        <w:jc w:val="center"/>
        <w:tblLayout w:type="fixed"/>
        <w:tblLook w:val="0400" w:firstRow="0" w:lastRow="0" w:firstColumn="0" w:lastColumn="0" w:noHBand="0" w:noVBand="1"/>
      </w:tblPr>
      <w:tblGrid>
        <w:gridCol w:w="4962"/>
        <w:gridCol w:w="4171"/>
        <w:gridCol w:w="10"/>
      </w:tblGrid>
      <w:tr w:rsidR="00DD70D5" w:rsidRPr="0001713E" w14:paraId="7752AC7D" w14:textId="77777777" w:rsidTr="0001713E">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tcW w:w="9133" w:type="dxa"/>
            <w:gridSpan w:val="2"/>
            <w:tcBorders>
              <w:top w:val="single" w:sz="4" w:space="0" w:color="auto"/>
              <w:bottom w:val="single" w:sz="4" w:space="0" w:color="auto"/>
            </w:tcBorders>
            <w:shd w:val="clear" w:color="auto" w:fill="auto"/>
          </w:tcPr>
          <w:p w14:paraId="09AAC4F5" w14:textId="63CA9AB1" w:rsidR="00DD70D5" w:rsidRPr="00615C4B" w:rsidRDefault="68675208" w:rsidP="0001713E">
            <w:pPr>
              <w:jc w:val="center"/>
              <w:rPr>
                <w:rFonts w:eastAsia="Ancizar Sans" w:cstheme="minorHAnsi"/>
                <w:color w:val="auto"/>
              </w:rPr>
            </w:pPr>
            <w:r w:rsidRPr="00615C4B">
              <w:rPr>
                <w:rFonts w:eastAsia="Ancizar Sans" w:cstheme="minorHAnsi"/>
                <w:color w:val="auto"/>
              </w:rPr>
              <w:t>Pregunta PICOT</w:t>
            </w:r>
          </w:p>
        </w:tc>
      </w:tr>
      <w:tr w:rsidR="002D6DEA" w:rsidRPr="0001713E" w14:paraId="02BCE1CB" w14:textId="77777777" w:rsidTr="0001713E">
        <w:trPr>
          <w:jc w:val="center"/>
        </w:trPr>
        <w:tc>
          <w:tcPr>
            <w:tcW w:w="4962" w:type="dxa"/>
            <w:tcBorders>
              <w:top w:val="single" w:sz="4" w:space="0" w:color="auto"/>
            </w:tcBorders>
            <w:shd w:val="clear" w:color="auto" w:fill="auto"/>
          </w:tcPr>
          <w:p w14:paraId="39B02E2C" w14:textId="01ECA529" w:rsidR="002B0B56" w:rsidRPr="0001713E" w:rsidRDefault="002B0B56" w:rsidP="0001713E">
            <w:pPr>
              <w:rPr>
                <w:rFonts w:eastAsia="Ancizar Sans"/>
                <w:b/>
                <w:bCs/>
                <w:color w:val="auto"/>
                <w:sz w:val="21"/>
                <w:szCs w:val="21"/>
              </w:rPr>
            </w:pPr>
            <w:r w:rsidRPr="0001713E">
              <w:rPr>
                <w:rFonts w:eastAsia="Ancizar Sans"/>
                <w:b/>
                <w:bCs/>
                <w:color w:val="auto"/>
                <w:sz w:val="21"/>
                <w:szCs w:val="21"/>
              </w:rPr>
              <w:t xml:space="preserve">Personas </w:t>
            </w:r>
            <w:r w:rsidRPr="0001713E">
              <w:rPr>
                <w:rFonts w:eastAsia="Ancizar Sans"/>
                <w:color w:val="auto"/>
                <w:sz w:val="21"/>
                <w:szCs w:val="21"/>
              </w:rPr>
              <w:t xml:space="preserve">(pacientes, </w:t>
            </w:r>
            <w:proofErr w:type="spellStart"/>
            <w:r w:rsidRPr="0001713E">
              <w:rPr>
                <w:rFonts w:eastAsia="Ancizar Sans"/>
                <w:color w:val="auto"/>
                <w:sz w:val="21"/>
                <w:szCs w:val="21"/>
              </w:rPr>
              <w:t>population</w:t>
            </w:r>
            <w:proofErr w:type="spellEnd"/>
            <w:r w:rsidRPr="0001713E">
              <w:rPr>
                <w:rFonts w:eastAsia="Ancizar Sans"/>
                <w:color w:val="auto"/>
                <w:sz w:val="21"/>
                <w:szCs w:val="21"/>
              </w:rPr>
              <w:t xml:space="preserve">, </w:t>
            </w:r>
            <w:proofErr w:type="spellStart"/>
            <w:r w:rsidRPr="0001713E">
              <w:rPr>
                <w:rFonts w:eastAsia="Ancizar Sans"/>
                <w:color w:val="auto"/>
                <w:sz w:val="21"/>
                <w:szCs w:val="21"/>
              </w:rPr>
              <w:t>patients</w:t>
            </w:r>
            <w:proofErr w:type="spellEnd"/>
            <w:r w:rsidRPr="0001713E">
              <w:rPr>
                <w:rFonts w:eastAsia="Ancizar Sans"/>
                <w:color w:val="auto"/>
                <w:sz w:val="21"/>
                <w:szCs w:val="21"/>
              </w:rPr>
              <w:t xml:space="preserve">, </w:t>
            </w:r>
            <w:proofErr w:type="spellStart"/>
            <w:r w:rsidRPr="0001713E">
              <w:rPr>
                <w:rFonts w:eastAsia="Ancizar Sans"/>
                <w:color w:val="auto"/>
                <w:sz w:val="21"/>
                <w:szCs w:val="21"/>
              </w:rPr>
              <w:t>people</w:t>
            </w:r>
            <w:proofErr w:type="spellEnd"/>
            <w:r w:rsidRPr="0001713E">
              <w:rPr>
                <w:rFonts w:eastAsia="Ancizar Sans"/>
                <w:color w:val="auto"/>
                <w:sz w:val="21"/>
                <w:szCs w:val="21"/>
              </w:rPr>
              <w:t>)</w:t>
            </w:r>
          </w:p>
        </w:tc>
        <w:tc>
          <w:tcPr>
            <w:tcW w:w="4181" w:type="dxa"/>
            <w:gridSpan w:val="2"/>
            <w:tcBorders>
              <w:top w:val="single" w:sz="4" w:space="0" w:color="auto"/>
            </w:tcBorders>
            <w:shd w:val="clear" w:color="auto" w:fill="auto"/>
          </w:tcPr>
          <w:p w14:paraId="36E82414" w14:textId="264AECC0" w:rsidR="002B0B56" w:rsidRPr="0001713E" w:rsidRDefault="002B0B56" w:rsidP="0001713E">
            <w:pPr>
              <w:rPr>
                <w:rFonts w:eastAsia="Ancizar Sans" w:cstheme="minorHAnsi"/>
                <w:i/>
                <w:iCs/>
                <w:color w:val="auto"/>
                <w:sz w:val="21"/>
                <w:szCs w:val="21"/>
              </w:rPr>
            </w:pPr>
            <w:r w:rsidRPr="0001713E">
              <w:rPr>
                <w:rFonts w:eastAsia="Ancizar Sans" w:cstheme="minorHAnsi"/>
                <w:i/>
                <w:iCs/>
                <w:color w:val="auto"/>
                <w:sz w:val="21"/>
                <w:szCs w:val="21"/>
              </w:rPr>
              <w:t xml:space="preserve">Artículos en Journals de investigación contable </w:t>
            </w:r>
          </w:p>
        </w:tc>
      </w:tr>
      <w:tr w:rsidR="002D6DEA" w:rsidRPr="0001713E" w14:paraId="3C58BD83" w14:textId="77777777" w:rsidTr="0001713E">
        <w:trPr>
          <w:cnfStyle w:val="000000100000" w:firstRow="0" w:lastRow="0" w:firstColumn="0" w:lastColumn="0" w:oddVBand="0" w:evenVBand="0" w:oddHBand="1" w:evenHBand="0" w:firstRowFirstColumn="0" w:firstRowLastColumn="0" w:lastRowFirstColumn="0" w:lastRowLastColumn="0"/>
          <w:jc w:val="center"/>
        </w:trPr>
        <w:tc>
          <w:tcPr>
            <w:tcW w:w="4962" w:type="dxa"/>
            <w:shd w:val="clear" w:color="auto" w:fill="auto"/>
          </w:tcPr>
          <w:p w14:paraId="232EEA03" w14:textId="6E88C9BE" w:rsidR="002B0B56" w:rsidRPr="0001713E" w:rsidRDefault="002B0B56" w:rsidP="0001713E">
            <w:pPr>
              <w:rPr>
                <w:rFonts w:eastAsia="Ancizar Sans"/>
                <w:b/>
                <w:bCs/>
                <w:color w:val="auto"/>
                <w:sz w:val="21"/>
                <w:szCs w:val="21"/>
              </w:rPr>
            </w:pPr>
            <w:r w:rsidRPr="0001713E">
              <w:rPr>
                <w:rFonts w:eastAsia="Ancizar Sans"/>
                <w:b/>
                <w:bCs/>
                <w:color w:val="auto"/>
                <w:sz w:val="21"/>
                <w:szCs w:val="21"/>
              </w:rPr>
              <w:t xml:space="preserve">Intervención </w:t>
            </w:r>
            <w:r w:rsidRPr="0001713E">
              <w:rPr>
                <w:rFonts w:eastAsia="Ancizar Sans"/>
                <w:color w:val="auto"/>
                <w:sz w:val="21"/>
                <w:szCs w:val="21"/>
              </w:rPr>
              <w:t>(</w:t>
            </w:r>
            <w:proofErr w:type="spellStart"/>
            <w:r w:rsidRPr="0001713E">
              <w:rPr>
                <w:rFonts w:eastAsia="Ancizar Sans"/>
                <w:color w:val="auto"/>
                <w:sz w:val="21"/>
                <w:szCs w:val="21"/>
              </w:rPr>
              <w:t>intervention</w:t>
            </w:r>
            <w:proofErr w:type="spellEnd"/>
            <w:r w:rsidRPr="0001713E">
              <w:rPr>
                <w:rFonts w:eastAsia="Ancizar Sans"/>
                <w:color w:val="auto"/>
                <w:sz w:val="21"/>
                <w:szCs w:val="21"/>
              </w:rPr>
              <w:t>)</w:t>
            </w:r>
          </w:p>
        </w:tc>
        <w:tc>
          <w:tcPr>
            <w:tcW w:w="4181" w:type="dxa"/>
            <w:gridSpan w:val="2"/>
            <w:shd w:val="clear" w:color="auto" w:fill="auto"/>
          </w:tcPr>
          <w:p w14:paraId="59D43096" w14:textId="77777777" w:rsidR="002B0B56" w:rsidRPr="0001713E" w:rsidRDefault="002B0B56" w:rsidP="0001713E">
            <w:pPr>
              <w:rPr>
                <w:rFonts w:eastAsia="Ancizar Sans" w:cstheme="minorHAnsi"/>
                <w:i/>
                <w:iCs/>
                <w:color w:val="auto"/>
                <w:sz w:val="21"/>
                <w:szCs w:val="21"/>
              </w:rPr>
            </w:pPr>
            <w:r w:rsidRPr="0001713E">
              <w:rPr>
                <w:rFonts w:eastAsia="Ancizar Sans" w:cstheme="minorHAnsi"/>
                <w:i/>
                <w:iCs/>
                <w:color w:val="auto"/>
                <w:sz w:val="21"/>
                <w:szCs w:val="21"/>
              </w:rPr>
              <w:t>Marco teórico de Michel Foucault</w:t>
            </w:r>
          </w:p>
        </w:tc>
      </w:tr>
      <w:tr w:rsidR="002D6DEA" w:rsidRPr="0001713E" w14:paraId="7F39F6CE" w14:textId="77777777" w:rsidTr="0001713E">
        <w:trPr>
          <w:jc w:val="center"/>
        </w:trPr>
        <w:tc>
          <w:tcPr>
            <w:tcW w:w="4962" w:type="dxa"/>
            <w:shd w:val="clear" w:color="auto" w:fill="auto"/>
          </w:tcPr>
          <w:p w14:paraId="336B2E52" w14:textId="10B0728B" w:rsidR="002B0B56" w:rsidRPr="0001713E" w:rsidRDefault="002B0B56" w:rsidP="0001713E">
            <w:pPr>
              <w:rPr>
                <w:rFonts w:eastAsia="Ancizar Sans"/>
                <w:b/>
                <w:bCs/>
                <w:color w:val="auto"/>
                <w:sz w:val="21"/>
                <w:szCs w:val="21"/>
              </w:rPr>
            </w:pPr>
            <w:r w:rsidRPr="0001713E">
              <w:rPr>
                <w:rFonts w:eastAsia="Ancizar Sans"/>
                <w:b/>
                <w:bCs/>
                <w:color w:val="auto"/>
                <w:sz w:val="21"/>
                <w:szCs w:val="21"/>
              </w:rPr>
              <w:t xml:space="preserve">Comparación </w:t>
            </w:r>
            <w:r w:rsidRPr="0001713E">
              <w:rPr>
                <w:rFonts w:eastAsia="Ancizar Sans"/>
                <w:color w:val="auto"/>
                <w:sz w:val="21"/>
                <w:szCs w:val="21"/>
              </w:rPr>
              <w:t>(grupo de comparación o control)</w:t>
            </w:r>
          </w:p>
        </w:tc>
        <w:tc>
          <w:tcPr>
            <w:tcW w:w="4181" w:type="dxa"/>
            <w:gridSpan w:val="2"/>
            <w:shd w:val="clear" w:color="auto" w:fill="auto"/>
          </w:tcPr>
          <w:p w14:paraId="31DCD090" w14:textId="77777777" w:rsidR="002B0B56" w:rsidRPr="0001713E" w:rsidRDefault="002B0B56" w:rsidP="0001713E">
            <w:pPr>
              <w:rPr>
                <w:rFonts w:eastAsia="Ancizar Sans" w:cstheme="minorHAnsi"/>
                <w:i/>
                <w:iCs/>
                <w:color w:val="auto"/>
                <w:sz w:val="21"/>
                <w:szCs w:val="21"/>
              </w:rPr>
            </w:pPr>
            <w:r w:rsidRPr="0001713E">
              <w:rPr>
                <w:rFonts w:eastAsia="Ancizar Sans" w:cstheme="minorHAnsi"/>
                <w:i/>
                <w:iCs/>
                <w:color w:val="auto"/>
                <w:sz w:val="21"/>
                <w:szCs w:val="21"/>
              </w:rPr>
              <w:t xml:space="preserve">Ausencia del Marco </w:t>
            </w:r>
          </w:p>
        </w:tc>
      </w:tr>
      <w:tr w:rsidR="002D6DEA" w:rsidRPr="0001713E" w14:paraId="2BCBF691" w14:textId="77777777" w:rsidTr="0001713E">
        <w:trPr>
          <w:cnfStyle w:val="000000100000" w:firstRow="0" w:lastRow="0" w:firstColumn="0" w:lastColumn="0" w:oddVBand="0" w:evenVBand="0" w:oddHBand="1" w:evenHBand="0" w:firstRowFirstColumn="0" w:firstRowLastColumn="0" w:lastRowFirstColumn="0" w:lastRowLastColumn="0"/>
          <w:jc w:val="center"/>
        </w:trPr>
        <w:tc>
          <w:tcPr>
            <w:tcW w:w="4962" w:type="dxa"/>
            <w:shd w:val="clear" w:color="auto" w:fill="auto"/>
          </w:tcPr>
          <w:p w14:paraId="48396586" w14:textId="01F5A2BD" w:rsidR="002B0B56" w:rsidRPr="0001713E" w:rsidRDefault="002B0B56" w:rsidP="002D6DEA">
            <w:pPr>
              <w:rPr>
                <w:rFonts w:eastAsia="Ancizar Sans"/>
                <w:b/>
                <w:bCs/>
                <w:color w:val="auto"/>
                <w:sz w:val="21"/>
                <w:szCs w:val="21"/>
              </w:rPr>
            </w:pPr>
            <w:proofErr w:type="spellStart"/>
            <w:r w:rsidRPr="0001713E">
              <w:rPr>
                <w:rFonts w:eastAsia="Ancizar Sans"/>
                <w:b/>
                <w:bCs/>
                <w:color w:val="auto"/>
                <w:sz w:val="21"/>
                <w:szCs w:val="21"/>
              </w:rPr>
              <w:t>Outcome</w:t>
            </w:r>
            <w:proofErr w:type="spellEnd"/>
            <w:r w:rsidRPr="0001713E">
              <w:rPr>
                <w:rFonts w:eastAsia="Ancizar Sans"/>
                <w:b/>
                <w:bCs/>
                <w:color w:val="auto"/>
                <w:sz w:val="21"/>
                <w:szCs w:val="21"/>
              </w:rPr>
              <w:t xml:space="preserve"> </w:t>
            </w:r>
            <w:r w:rsidRPr="0001713E">
              <w:rPr>
                <w:rFonts w:eastAsia="Ancizar Sans"/>
                <w:color w:val="auto"/>
                <w:sz w:val="21"/>
                <w:szCs w:val="21"/>
              </w:rPr>
              <w:t>(resultado o desenlace)</w:t>
            </w:r>
          </w:p>
          <w:p w14:paraId="6DBE3C83" w14:textId="4770E994" w:rsidR="002B0B56" w:rsidRPr="0001713E" w:rsidRDefault="002B0B56" w:rsidP="0001713E">
            <w:pPr>
              <w:rPr>
                <w:rFonts w:eastAsia="Ancizar Sans"/>
                <w:b/>
                <w:bCs/>
                <w:color w:val="auto"/>
                <w:sz w:val="21"/>
                <w:szCs w:val="21"/>
              </w:rPr>
            </w:pPr>
            <w:r w:rsidRPr="0001713E">
              <w:rPr>
                <w:rFonts w:eastAsia="Ancizar Sans"/>
                <w:b/>
                <w:bCs/>
                <w:color w:val="auto"/>
                <w:sz w:val="21"/>
                <w:szCs w:val="21"/>
              </w:rPr>
              <w:t xml:space="preserve">Tiempo </w:t>
            </w:r>
            <w:r w:rsidRPr="0001713E">
              <w:rPr>
                <w:rFonts w:eastAsia="Ancizar Sans"/>
                <w:color w:val="auto"/>
                <w:sz w:val="21"/>
                <w:szCs w:val="21"/>
              </w:rPr>
              <w:t>(periodo de análisis y seguimiento)</w:t>
            </w:r>
          </w:p>
        </w:tc>
        <w:tc>
          <w:tcPr>
            <w:tcW w:w="4181" w:type="dxa"/>
            <w:gridSpan w:val="2"/>
            <w:shd w:val="clear" w:color="auto" w:fill="auto"/>
          </w:tcPr>
          <w:p w14:paraId="5FD36E7E" w14:textId="5D467926" w:rsidR="002B0B56" w:rsidRPr="0001713E" w:rsidRDefault="002B0B56" w:rsidP="0001713E">
            <w:pPr>
              <w:rPr>
                <w:rFonts w:eastAsia="Ancizar Sans" w:cstheme="minorHAnsi"/>
                <w:i/>
                <w:iCs/>
                <w:color w:val="auto"/>
                <w:sz w:val="21"/>
                <w:szCs w:val="21"/>
              </w:rPr>
            </w:pPr>
            <w:r w:rsidRPr="0001713E">
              <w:rPr>
                <w:rFonts w:eastAsia="Ancizar Sans" w:cstheme="minorHAnsi"/>
                <w:i/>
                <w:iCs/>
                <w:color w:val="auto"/>
                <w:sz w:val="21"/>
                <w:szCs w:val="21"/>
              </w:rPr>
              <w:t>Caracterización del corpus</w:t>
            </w:r>
          </w:p>
          <w:p w14:paraId="36245B36" w14:textId="27AC5BB1" w:rsidR="002B0B56" w:rsidRPr="0001713E" w:rsidRDefault="002B0B56" w:rsidP="0001713E">
            <w:pPr>
              <w:rPr>
                <w:rFonts w:eastAsia="Ancizar Sans" w:cstheme="minorHAnsi"/>
                <w:i/>
                <w:iCs/>
                <w:color w:val="auto"/>
                <w:sz w:val="21"/>
                <w:szCs w:val="21"/>
              </w:rPr>
            </w:pPr>
            <w:r w:rsidRPr="0001713E">
              <w:rPr>
                <w:rFonts w:eastAsia="Ancizar Sans" w:cstheme="minorHAnsi"/>
                <w:i/>
                <w:iCs/>
                <w:color w:val="auto"/>
                <w:sz w:val="21"/>
                <w:szCs w:val="21"/>
              </w:rPr>
              <w:t>Indefinido</w:t>
            </w:r>
          </w:p>
        </w:tc>
      </w:tr>
    </w:tbl>
    <w:p w14:paraId="4ABEEB3F" w14:textId="593C3FCD" w:rsidR="00DD70D5" w:rsidRPr="004C174D" w:rsidRDefault="68675208" w:rsidP="68675208">
      <w:r w:rsidRPr="68675208">
        <w:t>Fuente: Elaboración propia</w:t>
      </w:r>
    </w:p>
    <w:p w14:paraId="7BF793F9" w14:textId="5586203F" w:rsidR="68675208" w:rsidRPr="00961164" w:rsidRDefault="68675208" w:rsidP="00961164">
      <w:pPr>
        <w:pStyle w:val="Ttulo2"/>
        <w:numPr>
          <w:ilvl w:val="1"/>
          <w:numId w:val="9"/>
        </w:numPr>
        <w:spacing w:after="240"/>
        <w:rPr>
          <w:rFonts w:asciiTheme="minorHAnsi" w:eastAsia="Yu Gothic Light" w:hAnsiTheme="minorHAnsi" w:cstheme="minorHAnsi"/>
          <w:b/>
          <w:bCs/>
          <w:i/>
          <w:iCs/>
          <w:color w:val="auto"/>
          <w:sz w:val="24"/>
          <w:szCs w:val="24"/>
        </w:rPr>
      </w:pPr>
      <w:bookmarkStart w:id="9" w:name="_Toc87892829"/>
      <w:r w:rsidRPr="00961164">
        <w:rPr>
          <w:rFonts w:asciiTheme="minorHAnsi" w:hAnsiTheme="minorHAnsi" w:cstheme="minorHAnsi"/>
          <w:b/>
          <w:bCs/>
          <w:i/>
          <w:iCs/>
          <w:color w:val="auto"/>
          <w:sz w:val="24"/>
          <w:szCs w:val="24"/>
        </w:rPr>
        <w:t>Los criterios de depuración</w:t>
      </w:r>
      <w:bookmarkEnd w:id="9"/>
    </w:p>
    <w:p w14:paraId="29BCA504" w14:textId="01AB8636" w:rsidR="00DD70D5" w:rsidRPr="00615C4B" w:rsidRDefault="00615C4B" w:rsidP="68675208">
      <w:pPr>
        <w:jc w:val="both"/>
        <w:rPr>
          <w:rFonts w:eastAsia="Ancizar Sans"/>
          <w:sz w:val="21"/>
          <w:szCs w:val="21"/>
        </w:rPr>
      </w:pPr>
      <w:r w:rsidRPr="00615C4B">
        <w:rPr>
          <w:rFonts w:eastAsia="Ancizar Sans"/>
          <w:sz w:val="21"/>
          <w:szCs w:val="21"/>
        </w:rPr>
        <w:t>Los criterios de exclusión se aplican a los documentos encontrados teniendo en cuenta la pertinencia o relevancia de la información contenida en ellos, aplicando la siguiente prelación:</w:t>
      </w:r>
    </w:p>
    <w:p w14:paraId="11BF5CA8" w14:textId="1C6F38FD" w:rsidR="00DD70D5" w:rsidRPr="004C174D" w:rsidRDefault="68675208" w:rsidP="68675208">
      <w:pPr>
        <w:pStyle w:val="Prrafodelista"/>
        <w:numPr>
          <w:ilvl w:val="0"/>
          <w:numId w:val="8"/>
        </w:numPr>
        <w:spacing w:after="0"/>
        <w:rPr>
          <w:rFonts w:eastAsiaTheme="minorEastAsia"/>
        </w:rPr>
      </w:pPr>
      <w:r w:rsidRPr="002D6DEA">
        <w:rPr>
          <w:rFonts w:eastAsia="Ancizar Sans"/>
          <w:i/>
          <w:iCs/>
        </w:rPr>
        <w:t>Título</w:t>
      </w:r>
      <w:r w:rsidRPr="68675208">
        <w:rPr>
          <w:rFonts w:eastAsia="Ancizar Sans"/>
        </w:rPr>
        <w:t xml:space="preserve">: debe estar directamente relacionado con el </w:t>
      </w:r>
      <w:r w:rsidR="002D6DEA">
        <w:rPr>
          <w:rFonts w:eastAsia="Ancizar Sans"/>
        </w:rPr>
        <w:t>marco foucaultiano</w:t>
      </w:r>
    </w:p>
    <w:p w14:paraId="75525A84" w14:textId="71EA1228" w:rsidR="00DD70D5" w:rsidRPr="004C174D" w:rsidRDefault="68675208" w:rsidP="002D6DEA">
      <w:pPr>
        <w:pStyle w:val="Prrafodelista"/>
        <w:numPr>
          <w:ilvl w:val="0"/>
          <w:numId w:val="8"/>
        </w:numPr>
        <w:spacing w:after="0"/>
        <w:rPr>
          <w:rFonts w:eastAsiaTheme="minorEastAsia"/>
        </w:rPr>
      </w:pPr>
      <w:r w:rsidRPr="002D6DEA">
        <w:rPr>
          <w:rFonts w:eastAsia="Ancizar Sans"/>
          <w:i/>
          <w:iCs/>
        </w:rPr>
        <w:t>Resumen</w:t>
      </w:r>
      <w:r w:rsidRPr="68675208">
        <w:rPr>
          <w:rFonts w:eastAsia="Ancizar Sans"/>
        </w:rPr>
        <w:t>: debe reflejar si el documento aporta o no a</w:t>
      </w:r>
      <w:r w:rsidR="002D6DEA">
        <w:rPr>
          <w:rFonts w:eastAsia="Ancizar Sans"/>
        </w:rPr>
        <w:t>l corpus de la perspectiva foucaultiana</w:t>
      </w:r>
    </w:p>
    <w:p w14:paraId="736770B6" w14:textId="3BC776FA" w:rsidR="00DD70D5" w:rsidRDefault="68675208" w:rsidP="68675208">
      <w:pPr>
        <w:pStyle w:val="Prrafodelista"/>
        <w:numPr>
          <w:ilvl w:val="0"/>
          <w:numId w:val="8"/>
        </w:numPr>
        <w:spacing w:after="0"/>
        <w:rPr>
          <w:rFonts w:eastAsiaTheme="minorEastAsia"/>
        </w:rPr>
      </w:pPr>
      <w:r w:rsidRPr="002D6DEA">
        <w:rPr>
          <w:rFonts w:eastAsia="Ancizar Sans"/>
          <w:i/>
          <w:iCs/>
        </w:rPr>
        <w:t>Palabras clave</w:t>
      </w:r>
      <w:r w:rsidRPr="68675208">
        <w:rPr>
          <w:rFonts w:eastAsia="Ancizar Sans"/>
        </w:rPr>
        <w:t>:</w:t>
      </w:r>
      <w:r w:rsidR="002D6DEA">
        <w:rPr>
          <w:rFonts w:eastAsia="Ancizar Sans"/>
        </w:rPr>
        <w:t xml:space="preserve"> </w:t>
      </w:r>
      <w:r w:rsidRPr="68675208">
        <w:rPr>
          <w:rFonts w:eastAsia="Ancizar Sans"/>
        </w:rPr>
        <w:t xml:space="preserve">debe contener </w:t>
      </w:r>
      <w:r w:rsidR="002D6DEA">
        <w:rPr>
          <w:rFonts w:eastAsia="Ancizar Sans"/>
        </w:rPr>
        <w:t>términos</w:t>
      </w:r>
      <w:r w:rsidRPr="68675208">
        <w:rPr>
          <w:rFonts w:eastAsia="Ancizar Sans"/>
        </w:rPr>
        <w:t xml:space="preserve"> utilizadas en la ecuación de búsqueda</w:t>
      </w:r>
    </w:p>
    <w:p w14:paraId="7AFC429B" w14:textId="23E42FFB" w:rsidR="68675208" w:rsidRDefault="68675208" w:rsidP="0001713E">
      <w:pPr>
        <w:spacing w:after="0"/>
        <w:jc w:val="both"/>
        <w:rPr>
          <w:rFonts w:eastAsia="Ancizar Sans"/>
        </w:rPr>
      </w:pPr>
      <w:bookmarkStart w:id="10" w:name="_heading=h.1t3h5sf"/>
      <w:bookmarkEnd w:id="10"/>
    </w:p>
    <w:p w14:paraId="7AA959A1" w14:textId="326F821C" w:rsidR="00BB5444" w:rsidRDefault="68675208" w:rsidP="00BB5444">
      <w:pPr>
        <w:pStyle w:val="Ttulo1"/>
        <w:numPr>
          <w:ilvl w:val="0"/>
          <w:numId w:val="9"/>
        </w:numPr>
        <w:spacing w:before="0" w:beforeAutospacing="0"/>
        <w:jc w:val="both"/>
        <w:rPr>
          <w:rFonts w:asciiTheme="minorHAnsi" w:hAnsiTheme="minorHAnsi" w:cstheme="minorBidi"/>
          <w:sz w:val="24"/>
          <w:szCs w:val="24"/>
        </w:rPr>
      </w:pPr>
      <w:bookmarkStart w:id="11" w:name="_Toc87892830"/>
      <w:r w:rsidRPr="68675208">
        <w:rPr>
          <w:rFonts w:asciiTheme="minorHAnsi" w:hAnsiTheme="minorHAnsi" w:cstheme="minorBidi"/>
          <w:sz w:val="24"/>
          <w:szCs w:val="24"/>
        </w:rPr>
        <w:t>RESULTADOS</w:t>
      </w:r>
      <w:bookmarkEnd w:id="11"/>
    </w:p>
    <w:p w14:paraId="68A4E1EA" w14:textId="5E27E388" w:rsidR="68675208" w:rsidRPr="00961164" w:rsidRDefault="68675208" w:rsidP="00961164">
      <w:pPr>
        <w:pStyle w:val="Ttulo2"/>
        <w:numPr>
          <w:ilvl w:val="1"/>
          <w:numId w:val="9"/>
        </w:numPr>
        <w:spacing w:after="240"/>
        <w:rPr>
          <w:rFonts w:asciiTheme="minorHAnsi" w:eastAsia="Times New Roman" w:hAnsiTheme="minorHAnsi" w:cstheme="minorHAnsi"/>
          <w:b/>
          <w:bCs/>
          <w:i/>
          <w:iCs/>
          <w:color w:val="auto"/>
          <w:sz w:val="24"/>
          <w:szCs w:val="24"/>
        </w:rPr>
      </w:pPr>
      <w:bookmarkStart w:id="12" w:name="_Toc87892831"/>
      <w:r w:rsidRPr="00961164">
        <w:rPr>
          <w:rFonts w:asciiTheme="minorHAnsi" w:hAnsiTheme="minorHAnsi" w:cstheme="minorHAnsi"/>
          <w:b/>
          <w:bCs/>
          <w:i/>
          <w:iCs/>
          <w:color w:val="auto"/>
          <w:sz w:val="24"/>
          <w:szCs w:val="24"/>
        </w:rPr>
        <w:t>La ecuación de búsqueda</w:t>
      </w:r>
      <w:bookmarkEnd w:id="12"/>
    </w:p>
    <w:p w14:paraId="0DE37171" w14:textId="2BAFC9E4" w:rsidR="00DD70D5" w:rsidRPr="004C174D" w:rsidRDefault="003236D7" w:rsidP="00615C4B">
      <w:pPr>
        <w:jc w:val="both"/>
        <w:rPr>
          <w:rFonts w:eastAsia="Ancizar Sans" w:cstheme="minorHAnsi"/>
        </w:rPr>
      </w:pPr>
      <w:r>
        <w:rPr>
          <w:rFonts w:eastAsia="Ancizar Sans" w:cstheme="minorHAnsi"/>
        </w:rPr>
        <w:t xml:space="preserve">A partir de la estructura PICOT, se </w:t>
      </w:r>
      <w:r w:rsidR="00E02ACE">
        <w:rPr>
          <w:rFonts w:eastAsia="Ancizar Sans" w:cstheme="minorHAnsi"/>
        </w:rPr>
        <w:t>testearon</w:t>
      </w:r>
      <w:r>
        <w:rPr>
          <w:rFonts w:eastAsia="Ancizar Sans" w:cstheme="minorHAnsi"/>
        </w:rPr>
        <w:t xml:space="preserve"> </w:t>
      </w:r>
      <w:r w:rsidR="00E02ACE">
        <w:rPr>
          <w:rFonts w:eastAsia="Ancizar Sans" w:cstheme="minorHAnsi"/>
        </w:rPr>
        <w:t>diferentes ecuaciones, l</w:t>
      </w:r>
      <w:r w:rsidR="00DD70D5" w:rsidRPr="004C174D">
        <w:rPr>
          <w:rFonts w:eastAsia="Ancizar Sans" w:cstheme="minorHAnsi"/>
        </w:rPr>
        <w:t xml:space="preserve">a estrategia de búsqueda </w:t>
      </w:r>
      <w:r w:rsidR="00E02ACE">
        <w:rPr>
          <w:rFonts w:eastAsia="Ancizar Sans" w:cstheme="minorHAnsi"/>
        </w:rPr>
        <w:t>más acertada fue</w:t>
      </w:r>
      <w:r w:rsidR="00DD70D5" w:rsidRPr="004C174D">
        <w:rPr>
          <w:rFonts w:eastAsia="Ancizar Sans" w:cstheme="minorHAnsi"/>
        </w:rPr>
        <w:t xml:space="preserve"> la formulación de la ecuación contenedora de los términos clave:</w:t>
      </w:r>
    </w:p>
    <w:p w14:paraId="7B22A906" w14:textId="2E9F6AD9" w:rsidR="00DD70D5" w:rsidRDefault="68675208" w:rsidP="68675208">
      <w:pPr>
        <w:jc w:val="center"/>
        <w:rPr>
          <w:rFonts w:eastAsia="Ancizar Sans"/>
          <w:i/>
          <w:iCs/>
          <w:lang w:val="en-US"/>
        </w:rPr>
      </w:pPr>
      <w:r w:rsidRPr="68675208">
        <w:rPr>
          <w:rFonts w:eastAsia="Ancizar Sans"/>
          <w:i/>
          <w:iCs/>
          <w:lang w:val="en-US"/>
        </w:rPr>
        <w:t>(Accounting OR Finance) AND (Foucault) AND (Theory OR theoretical)</w:t>
      </w:r>
    </w:p>
    <w:p w14:paraId="7C8DF6D6" w14:textId="4BB612AC" w:rsidR="00542FDD" w:rsidRPr="00592BD9" w:rsidRDefault="00542FDD" w:rsidP="0085220D">
      <w:pPr>
        <w:spacing w:after="0"/>
        <w:rPr>
          <w:rFonts w:eastAsia="Ancizar Sans" w:cstheme="minorHAnsi"/>
          <w:i/>
          <w:iCs/>
        </w:rPr>
      </w:pPr>
      <w:r w:rsidRPr="00592BD9">
        <w:rPr>
          <w:rFonts w:eastAsia="Ancizar Sans" w:cstheme="minorHAnsi"/>
          <w:i/>
          <w:iCs/>
        </w:rPr>
        <w:t>Tabla 2</w:t>
      </w:r>
      <w:r w:rsidR="00697BAF" w:rsidRPr="00592BD9">
        <w:rPr>
          <w:rFonts w:eastAsia="Ancizar Sans" w:cstheme="minorHAnsi"/>
          <w:i/>
          <w:iCs/>
        </w:rPr>
        <w:t>.</w:t>
      </w:r>
      <w:r w:rsidR="0085220D" w:rsidRPr="00592BD9">
        <w:rPr>
          <w:rFonts w:eastAsia="Ancizar Sans" w:cstheme="minorHAnsi"/>
          <w:i/>
          <w:iCs/>
        </w:rPr>
        <w:t xml:space="preserve"> Ecuación de búsqueda</w:t>
      </w:r>
      <w:r w:rsidR="00B504D3">
        <w:rPr>
          <w:rFonts w:eastAsia="Ancizar Sans" w:cstheme="minorHAnsi"/>
          <w:i/>
          <w:iCs/>
        </w:rPr>
        <w:t>,</w:t>
      </w:r>
      <w:r w:rsidR="0085220D" w:rsidRPr="00592BD9">
        <w:rPr>
          <w:rFonts w:eastAsia="Ancizar Sans" w:cstheme="minorHAnsi"/>
          <w:i/>
          <w:iCs/>
        </w:rPr>
        <w:t xml:space="preserve"> bases de datos</w:t>
      </w:r>
      <w:r w:rsidR="00B504D3">
        <w:rPr>
          <w:rFonts w:eastAsia="Ancizar Sans" w:cstheme="minorHAnsi"/>
          <w:i/>
          <w:iCs/>
        </w:rPr>
        <w:t xml:space="preserve"> y número de resultados</w:t>
      </w:r>
    </w:p>
    <w:tbl>
      <w:tblPr>
        <w:tblStyle w:val="Tabladelista1clara"/>
        <w:tblW w:w="9263" w:type="dxa"/>
        <w:tblLayout w:type="fixed"/>
        <w:tblLook w:val="0400" w:firstRow="0" w:lastRow="0" w:firstColumn="0" w:lastColumn="0" w:noHBand="0" w:noVBand="1"/>
      </w:tblPr>
      <w:tblGrid>
        <w:gridCol w:w="1601"/>
        <w:gridCol w:w="6110"/>
        <w:gridCol w:w="1552"/>
      </w:tblGrid>
      <w:tr w:rsidR="00FE7D7A" w:rsidRPr="00791B5D" w14:paraId="39CB8929" w14:textId="77777777" w:rsidTr="68675208">
        <w:trPr>
          <w:cnfStyle w:val="000000100000" w:firstRow="0" w:lastRow="0" w:firstColumn="0" w:lastColumn="0" w:oddVBand="0" w:evenVBand="0" w:oddHBand="1" w:evenHBand="0" w:firstRowFirstColumn="0" w:firstRowLastColumn="0" w:lastRowFirstColumn="0" w:lastRowLastColumn="0"/>
          <w:trHeight w:val="51"/>
        </w:trPr>
        <w:tc>
          <w:tcPr>
            <w:tcW w:w="1601" w:type="dxa"/>
            <w:tcBorders>
              <w:top w:val="single" w:sz="4" w:space="0" w:color="auto"/>
              <w:bottom w:val="single" w:sz="4" w:space="0" w:color="auto"/>
            </w:tcBorders>
            <w:shd w:val="clear" w:color="auto" w:fill="auto"/>
          </w:tcPr>
          <w:p w14:paraId="6775117B" w14:textId="77777777" w:rsidR="00FE7D7A" w:rsidRPr="00791B5D" w:rsidRDefault="68675208" w:rsidP="68675208">
            <w:pPr>
              <w:pStyle w:val="Ttulo"/>
              <w:rPr>
                <w:rFonts w:asciiTheme="minorHAnsi" w:eastAsia="Ancizar Sans" w:hAnsiTheme="minorHAnsi" w:cstheme="minorBidi"/>
                <w:sz w:val="22"/>
                <w:szCs w:val="22"/>
              </w:rPr>
            </w:pPr>
            <w:r w:rsidRPr="68675208">
              <w:rPr>
                <w:rFonts w:asciiTheme="minorHAnsi" w:eastAsia="Ancizar Sans" w:hAnsiTheme="minorHAnsi" w:cstheme="minorBidi"/>
                <w:sz w:val="22"/>
                <w:szCs w:val="22"/>
              </w:rPr>
              <w:t>Base de datos</w:t>
            </w:r>
          </w:p>
        </w:tc>
        <w:tc>
          <w:tcPr>
            <w:tcW w:w="6110" w:type="dxa"/>
            <w:tcBorders>
              <w:top w:val="single" w:sz="4" w:space="0" w:color="auto"/>
              <w:bottom w:val="single" w:sz="4" w:space="0" w:color="auto"/>
            </w:tcBorders>
            <w:shd w:val="clear" w:color="auto" w:fill="auto"/>
          </w:tcPr>
          <w:p w14:paraId="112C8B68" w14:textId="77777777" w:rsidR="00FE7D7A" w:rsidRPr="00791B5D" w:rsidRDefault="68675208" w:rsidP="68675208">
            <w:pPr>
              <w:pStyle w:val="Ttulo"/>
              <w:rPr>
                <w:rFonts w:asciiTheme="minorHAnsi" w:eastAsia="Ancizar Sans" w:hAnsiTheme="minorHAnsi" w:cstheme="minorBidi"/>
                <w:sz w:val="22"/>
                <w:szCs w:val="22"/>
              </w:rPr>
            </w:pPr>
            <w:r w:rsidRPr="68675208">
              <w:rPr>
                <w:rFonts w:asciiTheme="minorHAnsi" w:eastAsia="Ancizar Sans" w:hAnsiTheme="minorHAnsi" w:cstheme="minorBidi"/>
                <w:sz w:val="22"/>
                <w:szCs w:val="22"/>
              </w:rPr>
              <w:t>Ecuación</w:t>
            </w:r>
          </w:p>
        </w:tc>
        <w:tc>
          <w:tcPr>
            <w:tcW w:w="1552" w:type="dxa"/>
            <w:tcBorders>
              <w:top w:val="single" w:sz="4" w:space="0" w:color="auto"/>
              <w:bottom w:val="single" w:sz="4" w:space="0" w:color="auto"/>
            </w:tcBorders>
            <w:shd w:val="clear" w:color="auto" w:fill="auto"/>
          </w:tcPr>
          <w:p w14:paraId="74ECC196" w14:textId="77777777" w:rsidR="00FE7D7A" w:rsidRPr="00791B5D" w:rsidRDefault="68675208" w:rsidP="68675208">
            <w:pPr>
              <w:pStyle w:val="Ttulo"/>
              <w:rPr>
                <w:rFonts w:asciiTheme="minorHAnsi" w:eastAsia="Ancizar Sans" w:hAnsiTheme="minorHAnsi" w:cstheme="minorBidi"/>
                <w:sz w:val="22"/>
                <w:szCs w:val="22"/>
              </w:rPr>
            </w:pPr>
            <w:r w:rsidRPr="68675208">
              <w:rPr>
                <w:rFonts w:asciiTheme="minorHAnsi" w:eastAsia="Ancizar Sans" w:hAnsiTheme="minorHAnsi" w:cstheme="minorBidi"/>
                <w:sz w:val="22"/>
                <w:szCs w:val="22"/>
              </w:rPr>
              <w:t>Resultados</w:t>
            </w:r>
          </w:p>
        </w:tc>
      </w:tr>
      <w:tr w:rsidR="00FE7D7A" w:rsidRPr="00791B5D" w14:paraId="585C4050" w14:textId="77777777" w:rsidTr="68675208">
        <w:trPr>
          <w:trHeight w:val="381"/>
        </w:trPr>
        <w:tc>
          <w:tcPr>
            <w:tcW w:w="1601" w:type="dxa"/>
            <w:tcBorders>
              <w:top w:val="single" w:sz="4" w:space="0" w:color="auto"/>
            </w:tcBorders>
            <w:shd w:val="clear" w:color="auto" w:fill="auto"/>
          </w:tcPr>
          <w:p w14:paraId="1C21B2B7" w14:textId="77777777" w:rsidR="00FE7D7A" w:rsidRPr="00791B5D" w:rsidRDefault="00FE7D7A" w:rsidP="00766548">
            <w:pPr>
              <w:pStyle w:val="Ttulo"/>
              <w:rPr>
                <w:rFonts w:asciiTheme="minorHAnsi" w:eastAsia="Ancizar Sans" w:hAnsiTheme="minorHAnsi" w:cstheme="minorHAnsi"/>
                <w:sz w:val="22"/>
                <w:szCs w:val="22"/>
              </w:rPr>
            </w:pPr>
            <w:proofErr w:type="spellStart"/>
            <w:r w:rsidRPr="00791B5D">
              <w:rPr>
                <w:rFonts w:asciiTheme="minorHAnsi" w:eastAsia="Ancizar Sans" w:hAnsiTheme="minorHAnsi" w:cstheme="minorHAnsi"/>
                <w:sz w:val="22"/>
                <w:szCs w:val="22"/>
              </w:rPr>
              <w:t>Science</w:t>
            </w:r>
            <w:proofErr w:type="spellEnd"/>
            <w:r w:rsidRPr="00791B5D">
              <w:rPr>
                <w:rFonts w:asciiTheme="minorHAnsi" w:eastAsia="Ancizar Sans" w:hAnsiTheme="minorHAnsi" w:cstheme="minorHAnsi"/>
                <w:sz w:val="22"/>
                <w:szCs w:val="22"/>
              </w:rPr>
              <w:t xml:space="preserve"> Direct</w:t>
            </w:r>
          </w:p>
        </w:tc>
        <w:tc>
          <w:tcPr>
            <w:tcW w:w="6110" w:type="dxa"/>
            <w:tcBorders>
              <w:top w:val="single" w:sz="4" w:space="0" w:color="auto"/>
            </w:tcBorders>
            <w:shd w:val="clear" w:color="auto" w:fill="auto"/>
          </w:tcPr>
          <w:p w14:paraId="53D1E4A1" w14:textId="77777777" w:rsidR="00FE7D7A" w:rsidRPr="00791B5D" w:rsidRDefault="00FE7D7A" w:rsidP="00766548">
            <w:pPr>
              <w:pStyle w:val="Ttulo"/>
              <w:rPr>
                <w:rFonts w:asciiTheme="minorHAnsi" w:eastAsia="Ancizar Sans" w:hAnsiTheme="minorHAnsi" w:cstheme="minorHAnsi"/>
                <w:sz w:val="22"/>
                <w:szCs w:val="22"/>
                <w:lang w:val="en-US"/>
              </w:rPr>
            </w:pPr>
            <w:r w:rsidRPr="00791B5D">
              <w:rPr>
                <w:rFonts w:asciiTheme="minorHAnsi" w:eastAsia="Ancizar Sans" w:hAnsiTheme="minorHAnsi" w:cstheme="minorHAnsi"/>
                <w:sz w:val="22"/>
                <w:szCs w:val="22"/>
                <w:lang w:val="en-US"/>
              </w:rPr>
              <w:t>(Accounting OR Finance) AND (Foucault) AND (Theory OR theoretical)</w:t>
            </w:r>
          </w:p>
        </w:tc>
        <w:tc>
          <w:tcPr>
            <w:tcW w:w="1552" w:type="dxa"/>
            <w:tcBorders>
              <w:top w:val="single" w:sz="4" w:space="0" w:color="auto"/>
            </w:tcBorders>
            <w:shd w:val="clear" w:color="auto" w:fill="auto"/>
          </w:tcPr>
          <w:p w14:paraId="363CDFA3" w14:textId="77777777" w:rsidR="00FE7D7A" w:rsidRPr="00791B5D" w:rsidRDefault="00FE7D7A" w:rsidP="00766548">
            <w:pPr>
              <w:pStyle w:val="Ttulo"/>
              <w:rPr>
                <w:rFonts w:asciiTheme="minorHAnsi" w:eastAsia="Ancizar Sans" w:hAnsiTheme="minorHAnsi" w:cstheme="minorHAnsi"/>
                <w:sz w:val="22"/>
                <w:szCs w:val="22"/>
                <w:lang w:val="en-US"/>
              </w:rPr>
            </w:pPr>
            <w:r w:rsidRPr="00791B5D">
              <w:rPr>
                <w:rFonts w:asciiTheme="minorHAnsi" w:eastAsia="Ancizar Sans" w:hAnsiTheme="minorHAnsi" w:cstheme="minorHAnsi"/>
                <w:sz w:val="22"/>
                <w:szCs w:val="22"/>
                <w:lang w:val="en-US"/>
              </w:rPr>
              <w:t>417</w:t>
            </w:r>
          </w:p>
        </w:tc>
      </w:tr>
      <w:tr w:rsidR="00FE7D7A" w:rsidRPr="00791B5D" w14:paraId="10C4D222" w14:textId="77777777" w:rsidTr="68675208">
        <w:trPr>
          <w:cnfStyle w:val="000000100000" w:firstRow="0" w:lastRow="0" w:firstColumn="0" w:lastColumn="0" w:oddVBand="0" w:evenVBand="0" w:oddHBand="1" w:evenHBand="0" w:firstRowFirstColumn="0" w:firstRowLastColumn="0" w:lastRowFirstColumn="0" w:lastRowLastColumn="0"/>
          <w:trHeight w:val="381"/>
        </w:trPr>
        <w:tc>
          <w:tcPr>
            <w:tcW w:w="1601" w:type="dxa"/>
            <w:shd w:val="clear" w:color="auto" w:fill="auto"/>
          </w:tcPr>
          <w:p w14:paraId="5FA74214" w14:textId="77777777" w:rsidR="00FE7D7A" w:rsidRPr="00791B5D" w:rsidRDefault="00FE7D7A" w:rsidP="00766548">
            <w:pPr>
              <w:pStyle w:val="Ttulo"/>
              <w:rPr>
                <w:rFonts w:asciiTheme="minorHAnsi" w:eastAsia="Ancizar Sans" w:hAnsiTheme="minorHAnsi" w:cstheme="minorHAnsi"/>
                <w:sz w:val="22"/>
                <w:szCs w:val="22"/>
              </w:rPr>
            </w:pPr>
            <w:r w:rsidRPr="00791B5D">
              <w:rPr>
                <w:rFonts w:asciiTheme="minorHAnsi" w:eastAsia="Ancizar Sans" w:hAnsiTheme="minorHAnsi" w:cstheme="minorHAnsi"/>
                <w:sz w:val="22"/>
                <w:szCs w:val="22"/>
              </w:rPr>
              <w:t>SCOPUS</w:t>
            </w:r>
          </w:p>
        </w:tc>
        <w:tc>
          <w:tcPr>
            <w:tcW w:w="6110" w:type="dxa"/>
            <w:shd w:val="clear" w:color="auto" w:fill="auto"/>
          </w:tcPr>
          <w:p w14:paraId="2E9EE384" w14:textId="77777777" w:rsidR="00FE7D7A" w:rsidRPr="00791B5D" w:rsidRDefault="00FE7D7A" w:rsidP="00766548">
            <w:pPr>
              <w:pStyle w:val="Ttulo"/>
              <w:rPr>
                <w:rFonts w:asciiTheme="minorHAnsi" w:eastAsia="Ancizar Sans" w:hAnsiTheme="minorHAnsi" w:cstheme="minorHAnsi"/>
                <w:sz w:val="22"/>
                <w:szCs w:val="22"/>
                <w:lang w:val="en-US"/>
              </w:rPr>
            </w:pPr>
            <w:r w:rsidRPr="00791B5D">
              <w:rPr>
                <w:rFonts w:asciiTheme="minorHAnsi" w:eastAsia="Ancizar Sans" w:hAnsiTheme="minorHAnsi" w:cstheme="minorHAnsi"/>
                <w:sz w:val="22"/>
                <w:szCs w:val="22"/>
                <w:lang w:val="en-US"/>
              </w:rPr>
              <w:t>(Accounting OR Finance) AND (Foucault) AND (Theory OR theoretical)</w:t>
            </w:r>
          </w:p>
        </w:tc>
        <w:tc>
          <w:tcPr>
            <w:tcW w:w="1552" w:type="dxa"/>
            <w:shd w:val="clear" w:color="auto" w:fill="auto"/>
          </w:tcPr>
          <w:p w14:paraId="208B0829" w14:textId="77777777" w:rsidR="00FE7D7A" w:rsidRPr="00791B5D" w:rsidRDefault="00FE7D7A" w:rsidP="00766548">
            <w:pPr>
              <w:pStyle w:val="Ttulo"/>
              <w:rPr>
                <w:rFonts w:asciiTheme="minorHAnsi" w:eastAsia="Ancizar Sans" w:hAnsiTheme="minorHAnsi" w:cstheme="minorHAnsi"/>
                <w:sz w:val="22"/>
                <w:szCs w:val="22"/>
                <w:lang w:val="en-US"/>
              </w:rPr>
            </w:pPr>
            <w:r w:rsidRPr="00791B5D">
              <w:rPr>
                <w:rFonts w:asciiTheme="minorHAnsi" w:eastAsia="Ancizar Sans" w:hAnsiTheme="minorHAnsi" w:cstheme="minorHAnsi"/>
                <w:sz w:val="22"/>
                <w:szCs w:val="22"/>
                <w:lang w:val="en-US"/>
              </w:rPr>
              <w:t>70</w:t>
            </w:r>
          </w:p>
        </w:tc>
      </w:tr>
      <w:tr w:rsidR="00FE7D7A" w:rsidRPr="00791B5D" w14:paraId="42E7E621" w14:textId="77777777" w:rsidTr="68675208">
        <w:trPr>
          <w:trHeight w:val="9"/>
        </w:trPr>
        <w:tc>
          <w:tcPr>
            <w:tcW w:w="1601" w:type="dxa"/>
            <w:shd w:val="clear" w:color="auto" w:fill="auto"/>
          </w:tcPr>
          <w:p w14:paraId="70427582" w14:textId="6C3BF231" w:rsidR="00FE7D7A" w:rsidRPr="00B437AC" w:rsidRDefault="00FE7D7A" w:rsidP="00B437AC">
            <w:pPr>
              <w:pStyle w:val="Ttulo"/>
              <w:pBdr>
                <w:top w:val="nil"/>
                <w:left w:val="nil"/>
                <w:bottom w:val="nil"/>
                <w:right w:val="nil"/>
                <w:between w:val="nil"/>
              </w:pBdr>
              <w:rPr>
                <w:rFonts w:asciiTheme="minorHAnsi" w:eastAsia="Ancizar Sans" w:hAnsiTheme="minorHAnsi" w:cstheme="minorHAnsi"/>
                <w:sz w:val="22"/>
                <w:szCs w:val="22"/>
              </w:rPr>
            </w:pPr>
            <w:r w:rsidRPr="00791B5D">
              <w:rPr>
                <w:rFonts w:asciiTheme="minorHAnsi" w:eastAsia="Ancizar Sans" w:hAnsiTheme="minorHAnsi" w:cstheme="minorHAnsi"/>
                <w:sz w:val="22"/>
                <w:szCs w:val="22"/>
              </w:rPr>
              <w:t>EBSCO</w:t>
            </w:r>
          </w:p>
        </w:tc>
        <w:tc>
          <w:tcPr>
            <w:tcW w:w="6110" w:type="dxa"/>
            <w:shd w:val="clear" w:color="auto" w:fill="auto"/>
          </w:tcPr>
          <w:p w14:paraId="40A2F7B5" w14:textId="77777777" w:rsidR="00FE7D7A" w:rsidRPr="00791B5D" w:rsidRDefault="00FE7D7A" w:rsidP="00766548">
            <w:pPr>
              <w:pStyle w:val="Ttulo"/>
              <w:rPr>
                <w:rFonts w:asciiTheme="minorHAnsi" w:eastAsia="Ancizar Sans" w:hAnsiTheme="minorHAnsi" w:cstheme="minorHAnsi"/>
                <w:sz w:val="22"/>
                <w:szCs w:val="22"/>
                <w:lang w:val="en-US"/>
              </w:rPr>
            </w:pPr>
            <w:r w:rsidRPr="00791B5D">
              <w:rPr>
                <w:rFonts w:asciiTheme="minorHAnsi" w:eastAsia="Ancizar Sans" w:hAnsiTheme="minorHAnsi" w:cstheme="minorHAnsi"/>
                <w:sz w:val="22"/>
                <w:szCs w:val="22"/>
                <w:lang w:val="en-US"/>
              </w:rPr>
              <w:t>(Accounting OR Finance) AND (Foucault) AND (Theory OR theoretical)</w:t>
            </w:r>
          </w:p>
        </w:tc>
        <w:tc>
          <w:tcPr>
            <w:tcW w:w="1552" w:type="dxa"/>
            <w:shd w:val="clear" w:color="auto" w:fill="auto"/>
          </w:tcPr>
          <w:p w14:paraId="4705C1C8" w14:textId="77777777" w:rsidR="00FE7D7A" w:rsidRPr="00791B5D" w:rsidRDefault="00FE7D7A" w:rsidP="00766548">
            <w:pPr>
              <w:pStyle w:val="Ttulo"/>
              <w:rPr>
                <w:rFonts w:asciiTheme="minorHAnsi" w:eastAsia="Ancizar Sans" w:hAnsiTheme="minorHAnsi" w:cstheme="minorHAnsi"/>
                <w:sz w:val="22"/>
                <w:szCs w:val="22"/>
              </w:rPr>
            </w:pPr>
            <w:r w:rsidRPr="00791B5D">
              <w:rPr>
                <w:rFonts w:asciiTheme="minorHAnsi" w:eastAsia="Ancizar Sans" w:hAnsiTheme="minorHAnsi" w:cstheme="minorHAnsi"/>
                <w:sz w:val="22"/>
                <w:szCs w:val="22"/>
              </w:rPr>
              <w:t>59</w:t>
            </w:r>
          </w:p>
        </w:tc>
      </w:tr>
      <w:tr w:rsidR="00E02ACE" w:rsidRPr="00791B5D" w14:paraId="29DC054F" w14:textId="77777777" w:rsidTr="68675208">
        <w:trPr>
          <w:cnfStyle w:val="000000100000" w:firstRow="0" w:lastRow="0" w:firstColumn="0" w:lastColumn="0" w:oddVBand="0" w:evenVBand="0" w:oddHBand="1" w:evenHBand="0" w:firstRowFirstColumn="0" w:firstRowLastColumn="0" w:lastRowFirstColumn="0" w:lastRowLastColumn="0"/>
          <w:trHeight w:val="55"/>
        </w:trPr>
        <w:tc>
          <w:tcPr>
            <w:tcW w:w="1601" w:type="dxa"/>
            <w:tcBorders>
              <w:bottom w:val="single" w:sz="4" w:space="0" w:color="auto"/>
            </w:tcBorders>
            <w:shd w:val="clear" w:color="auto" w:fill="auto"/>
          </w:tcPr>
          <w:p w14:paraId="38D0F974" w14:textId="77777777" w:rsidR="00E02ACE" w:rsidRPr="00791B5D" w:rsidRDefault="00E02ACE" w:rsidP="00766548">
            <w:pPr>
              <w:pStyle w:val="Ttulo"/>
              <w:pBdr>
                <w:top w:val="nil"/>
                <w:left w:val="nil"/>
                <w:bottom w:val="nil"/>
                <w:right w:val="nil"/>
                <w:between w:val="nil"/>
              </w:pBdr>
              <w:rPr>
                <w:rFonts w:asciiTheme="minorHAnsi" w:eastAsia="Ancizar Sans" w:hAnsiTheme="minorHAnsi" w:cstheme="minorHAnsi"/>
                <w:sz w:val="22"/>
                <w:szCs w:val="22"/>
              </w:rPr>
            </w:pPr>
          </w:p>
        </w:tc>
        <w:tc>
          <w:tcPr>
            <w:tcW w:w="6110" w:type="dxa"/>
            <w:tcBorders>
              <w:bottom w:val="single" w:sz="4" w:space="0" w:color="auto"/>
            </w:tcBorders>
            <w:shd w:val="clear" w:color="auto" w:fill="auto"/>
          </w:tcPr>
          <w:p w14:paraId="43FEB21B" w14:textId="796A1C9F" w:rsidR="00E02ACE" w:rsidRPr="00B437AC" w:rsidRDefault="00E02ACE" w:rsidP="00E02ACE">
            <w:pPr>
              <w:pStyle w:val="Ttulo"/>
              <w:jc w:val="right"/>
              <w:rPr>
                <w:rFonts w:asciiTheme="minorHAnsi" w:eastAsia="Ancizar Sans" w:hAnsiTheme="minorHAnsi" w:cstheme="minorHAnsi"/>
                <w:b/>
                <w:bCs/>
                <w:sz w:val="22"/>
                <w:szCs w:val="22"/>
                <w:lang w:val="en-US"/>
              </w:rPr>
            </w:pPr>
            <w:r w:rsidRPr="00B437AC">
              <w:rPr>
                <w:rFonts w:asciiTheme="minorHAnsi" w:eastAsia="Ancizar Sans" w:hAnsiTheme="minorHAnsi" w:cstheme="minorHAnsi"/>
                <w:b/>
                <w:bCs/>
                <w:sz w:val="22"/>
                <w:szCs w:val="22"/>
                <w:lang w:val="en-US"/>
              </w:rPr>
              <w:t>TOTAL</w:t>
            </w:r>
          </w:p>
        </w:tc>
        <w:tc>
          <w:tcPr>
            <w:tcW w:w="1552" w:type="dxa"/>
            <w:tcBorders>
              <w:bottom w:val="single" w:sz="4" w:space="0" w:color="auto"/>
            </w:tcBorders>
            <w:shd w:val="clear" w:color="auto" w:fill="auto"/>
          </w:tcPr>
          <w:p w14:paraId="1D037CEB" w14:textId="26092079" w:rsidR="00E02ACE" w:rsidRPr="00B437AC" w:rsidRDefault="00B437AC" w:rsidP="00766548">
            <w:pPr>
              <w:pStyle w:val="Ttulo"/>
              <w:rPr>
                <w:rFonts w:asciiTheme="minorHAnsi" w:eastAsia="Ancizar Sans" w:hAnsiTheme="minorHAnsi" w:cstheme="minorHAnsi"/>
                <w:b/>
                <w:bCs/>
                <w:sz w:val="22"/>
                <w:szCs w:val="22"/>
              </w:rPr>
            </w:pPr>
            <w:r w:rsidRPr="00B437AC">
              <w:rPr>
                <w:rFonts w:asciiTheme="minorHAnsi" w:eastAsia="Ancizar Sans" w:hAnsiTheme="minorHAnsi" w:cstheme="minorHAnsi"/>
                <w:b/>
                <w:bCs/>
                <w:sz w:val="22"/>
                <w:szCs w:val="22"/>
              </w:rPr>
              <w:t>546</w:t>
            </w:r>
          </w:p>
        </w:tc>
      </w:tr>
    </w:tbl>
    <w:p w14:paraId="55745CF9" w14:textId="5A040BDF" w:rsidR="00DD70D5" w:rsidRPr="004C174D" w:rsidRDefault="68675208" w:rsidP="0085220D">
      <w:pPr>
        <w:spacing w:after="100" w:afterAutospacing="1"/>
        <w:rPr>
          <w:rFonts w:eastAsia="Ancizar Sans" w:cstheme="minorHAnsi"/>
        </w:rPr>
      </w:pPr>
      <w:r w:rsidRPr="68675208">
        <w:t>Fuente: Elaboración propia</w:t>
      </w:r>
      <w:r w:rsidR="0014219C">
        <w:t>.</w:t>
      </w:r>
    </w:p>
    <w:p w14:paraId="12B84465" w14:textId="1D91FD69" w:rsidR="68675208" w:rsidRPr="00961164" w:rsidRDefault="68675208" w:rsidP="00961164">
      <w:pPr>
        <w:pStyle w:val="Ttulo2"/>
        <w:numPr>
          <w:ilvl w:val="1"/>
          <w:numId w:val="9"/>
        </w:numPr>
        <w:spacing w:after="240"/>
        <w:rPr>
          <w:rFonts w:asciiTheme="minorHAnsi" w:hAnsiTheme="minorHAnsi" w:cstheme="minorHAnsi"/>
          <w:b/>
          <w:bCs/>
          <w:i/>
          <w:iCs/>
          <w:color w:val="auto"/>
          <w:sz w:val="24"/>
          <w:szCs w:val="24"/>
        </w:rPr>
      </w:pPr>
      <w:bookmarkStart w:id="13" w:name="_Toc87892832"/>
      <w:r w:rsidRPr="00961164">
        <w:rPr>
          <w:rFonts w:asciiTheme="minorHAnsi" w:hAnsiTheme="minorHAnsi" w:cstheme="minorHAnsi"/>
          <w:b/>
          <w:bCs/>
          <w:i/>
          <w:iCs/>
          <w:color w:val="auto"/>
          <w:sz w:val="24"/>
          <w:szCs w:val="24"/>
        </w:rPr>
        <w:t>La depuración del corpus</w:t>
      </w:r>
      <w:bookmarkEnd w:id="13"/>
    </w:p>
    <w:p w14:paraId="6C1FA641" w14:textId="464605A9" w:rsidR="00DD70D5" w:rsidRPr="004C174D" w:rsidRDefault="00DD70D5" w:rsidP="00DD70D5">
      <w:pPr>
        <w:jc w:val="both"/>
        <w:rPr>
          <w:rFonts w:eastAsia="Ancizar Sans" w:cstheme="minorHAnsi"/>
        </w:rPr>
      </w:pPr>
      <w:r w:rsidRPr="004C174D">
        <w:rPr>
          <w:rFonts w:eastAsia="Ancizar Sans" w:cstheme="minorHAnsi"/>
        </w:rPr>
        <w:t xml:space="preserve">El proceso de selección se realizó </w:t>
      </w:r>
      <w:r w:rsidR="008003DA">
        <w:rPr>
          <w:rFonts w:eastAsia="Ancizar Sans" w:cstheme="minorHAnsi"/>
        </w:rPr>
        <w:t>mediante</w:t>
      </w:r>
      <w:r w:rsidRPr="004C174D">
        <w:rPr>
          <w:rFonts w:eastAsia="Ancizar Sans" w:cstheme="minorHAnsi"/>
        </w:rPr>
        <w:t xml:space="preserve"> la plataforma </w:t>
      </w:r>
      <w:proofErr w:type="spellStart"/>
      <w:r w:rsidRPr="004C174D">
        <w:rPr>
          <w:rFonts w:eastAsia="Ancizar Sans" w:cstheme="minorHAnsi"/>
        </w:rPr>
        <w:t>Rayyan</w:t>
      </w:r>
      <w:proofErr w:type="spellEnd"/>
      <w:r w:rsidRPr="004C174D">
        <w:rPr>
          <w:rFonts w:eastAsia="Ancizar Sans" w:cstheme="minorHAnsi"/>
        </w:rPr>
        <w:t xml:space="preserve"> QCRI</w:t>
      </w:r>
      <w:r w:rsidR="00592BD9">
        <w:rPr>
          <w:rStyle w:val="Refdenotaalpie"/>
          <w:rFonts w:eastAsia="Ancizar Sans" w:cstheme="minorHAnsi"/>
        </w:rPr>
        <w:footnoteReference w:id="2"/>
      </w:r>
      <w:r w:rsidRPr="004C174D">
        <w:rPr>
          <w:rFonts w:eastAsia="Ancizar Sans" w:cstheme="minorHAnsi"/>
        </w:rPr>
        <w:t xml:space="preserve">, </w:t>
      </w:r>
      <w:r w:rsidR="00592BD9">
        <w:rPr>
          <w:rFonts w:eastAsia="Ancizar Sans" w:cstheme="minorHAnsi"/>
        </w:rPr>
        <w:t>que facilitó</w:t>
      </w:r>
      <w:r w:rsidRPr="004C174D">
        <w:rPr>
          <w:rFonts w:eastAsia="Ancizar Sans" w:cstheme="minorHAnsi"/>
        </w:rPr>
        <w:t xml:space="preserve"> la depuración de acervo bibliográfico</w:t>
      </w:r>
      <w:r w:rsidR="0BC29272" w:rsidRPr="0BC29272">
        <w:rPr>
          <w:rFonts w:eastAsia="Ancizar Sans"/>
        </w:rPr>
        <w:t xml:space="preserve">. </w:t>
      </w:r>
      <w:r w:rsidR="003236D7">
        <w:rPr>
          <w:rFonts w:eastAsia="Ancizar Sans"/>
        </w:rPr>
        <w:t>Como se muestra en la Ilustración 3, s</w:t>
      </w:r>
      <w:r w:rsidR="0BC29272" w:rsidRPr="0BC29272">
        <w:rPr>
          <w:rFonts w:eastAsia="Ancizar Sans"/>
        </w:rPr>
        <w:t>e</w:t>
      </w:r>
      <w:r w:rsidRPr="004C174D">
        <w:rPr>
          <w:rFonts w:eastAsia="Ancizar Sans" w:cstheme="minorHAnsi"/>
        </w:rPr>
        <w:t xml:space="preserve"> encontraron 79 repeticiones</w:t>
      </w:r>
      <w:r w:rsidR="00B437AC">
        <w:rPr>
          <w:rFonts w:eastAsia="Ancizar Sans" w:cstheme="minorHAnsi"/>
        </w:rPr>
        <w:t xml:space="preserve"> (mismo </w:t>
      </w:r>
      <w:r w:rsidR="00EE3DFB">
        <w:rPr>
          <w:rFonts w:eastAsia="Ancizar Sans" w:cstheme="minorHAnsi"/>
        </w:rPr>
        <w:t>artículo</w:t>
      </w:r>
      <w:r w:rsidR="00B437AC">
        <w:rPr>
          <w:rFonts w:eastAsia="Ancizar Sans" w:cstheme="minorHAnsi"/>
        </w:rPr>
        <w:t xml:space="preserve"> en </w:t>
      </w:r>
      <w:r w:rsidR="008003DA">
        <w:rPr>
          <w:rFonts w:eastAsia="Ancizar Sans" w:cstheme="minorHAnsi"/>
        </w:rPr>
        <w:t>varias</w:t>
      </w:r>
      <w:r w:rsidR="00DB37EC">
        <w:rPr>
          <w:rFonts w:eastAsia="Ancizar Sans" w:cstheme="minorHAnsi"/>
        </w:rPr>
        <w:t xml:space="preserve"> bases</w:t>
      </w:r>
      <w:r w:rsidR="00B437AC">
        <w:rPr>
          <w:rFonts w:eastAsia="Ancizar Sans" w:cstheme="minorHAnsi"/>
        </w:rPr>
        <w:t xml:space="preserve"> de datos)</w:t>
      </w:r>
      <w:r w:rsidR="00530FF4">
        <w:rPr>
          <w:rFonts w:eastAsia="Ancizar Sans" w:cstheme="minorHAnsi"/>
        </w:rPr>
        <w:t>;</w:t>
      </w:r>
      <w:r w:rsidRPr="004C174D">
        <w:rPr>
          <w:rFonts w:eastAsia="Ancizar Sans" w:cstheme="minorHAnsi"/>
        </w:rPr>
        <w:t xml:space="preserve"> se </w:t>
      </w:r>
      <w:r w:rsidR="00DB37EC">
        <w:rPr>
          <w:rFonts w:eastAsia="Ancizar Sans" w:cstheme="minorHAnsi"/>
        </w:rPr>
        <w:t>excluyeron</w:t>
      </w:r>
      <w:r w:rsidRPr="004C174D">
        <w:rPr>
          <w:rFonts w:eastAsia="Ancizar Sans" w:cstheme="minorHAnsi"/>
        </w:rPr>
        <w:t xml:space="preserve"> trabajos no disciplinares y se redujo el listado de </w:t>
      </w:r>
      <w:r w:rsidRPr="004C174D">
        <w:rPr>
          <w:rFonts w:eastAsia="Ancizar Sans" w:cstheme="minorHAnsi"/>
        </w:rPr>
        <w:lastRenderedPageBreak/>
        <w:t>artículos a 357</w:t>
      </w:r>
      <w:r w:rsidR="00B437AC">
        <w:rPr>
          <w:rFonts w:eastAsia="Ancizar Sans" w:cstheme="minorHAnsi"/>
        </w:rPr>
        <w:t>;</w:t>
      </w:r>
      <w:r w:rsidR="00EA120F">
        <w:rPr>
          <w:rFonts w:eastAsia="Ancizar Sans" w:cstheme="minorHAnsi"/>
        </w:rPr>
        <w:t xml:space="preserve"> luego, se revisaron los resúmenes de 65</w:t>
      </w:r>
      <w:r w:rsidR="00B437AC">
        <w:rPr>
          <w:rFonts w:eastAsia="Ancizar Sans" w:cstheme="minorHAnsi"/>
        </w:rPr>
        <w:t>;</w:t>
      </w:r>
      <w:r w:rsidR="00EA120F">
        <w:rPr>
          <w:rFonts w:eastAsia="Ancizar Sans" w:cstheme="minorHAnsi"/>
        </w:rPr>
        <w:t xml:space="preserve"> y</w:t>
      </w:r>
      <w:r w:rsidR="00B437AC">
        <w:rPr>
          <w:rFonts w:eastAsia="Ancizar Sans" w:cstheme="minorHAnsi"/>
        </w:rPr>
        <w:t>,</w:t>
      </w:r>
      <w:r w:rsidR="00EA120F">
        <w:rPr>
          <w:rFonts w:eastAsia="Ancizar Sans" w:cstheme="minorHAnsi"/>
        </w:rPr>
        <w:t xml:space="preserve"> finalmente, se analizaron 7 </w:t>
      </w:r>
      <w:r w:rsidR="00513C0D">
        <w:rPr>
          <w:rFonts w:eastAsia="Ancizar Sans" w:cstheme="minorHAnsi"/>
        </w:rPr>
        <w:t xml:space="preserve">documentos que </w:t>
      </w:r>
      <w:r w:rsidR="008003DA">
        <w:rPr>
          <w:rFonts w:eastAsia="Ancizar Sans" w:cstheme="minorHAnsi"/>
        </w:rPr>
        <w:t>aplicaron</w:t>
      </w:r>
      <w:r w:rsidR="00513C0D">
        <w:rPr>
          <w:rFonts w:eastAsia="Ancizar Sans" w:cstheme="minorHAnsi"/>
        </w:rPr>
        <w:t xml:space="preserve"> la RSL</w:t>
      </w:r>
      <w:r w:rsidRPr="004C174D">
        <w:rPr>
          <w:rFonts w:eastAsia="Ancizar Sans" w:cstheme="minorHAnsi"/>
        </w:rPr>
        <w:t>.</w:t>
      </w:r>
    </w:p>
    <w:p w14:paraId="1D303262" w14:textId="5AFA70A0" w:rsidR="00DD70D5" w:rsidRPr="00553281" w:rsidRDefault="00DD70D5" w:rsidP="00697BAF">
      <w:pPr>
        <w:rPr>
          <w:rFonts w:eastAsia="Ancizar Sans"/>
          <w:i/>
          <w:iCs/>
        </w:rPr>
      </w:pPr>
      <w:r w:rsidRPr="00553281">
        <w:rPr>
          <w:i/>
          <w:iCs/>
        </w:rPr>
        <w:t xml:space="preserve">Ilustración </w:t>
      </w:r>
      <w:r w:rsidR="00F92DC3">
        <w:rPr>
          <w:i/>
          <w:iCs/>
        </w:rPr>
        <w:t>3</w:t>
      </w:r>
      <w:r w:rsidR="00697BAF" w:rsidRPr="00553281">
        <w:rPr>
          <w:i/>
          <w:iCs/>
        </w:rPr>
        <w:t>.</w:t>
      </w:r>
      <w:r w:rsidRPr="00553281">
        <w:rPr>
          <w:i/>
          <w:iCs/>
        </w:rPr>
        <w:t xml:space="preserve"> Flujograma PRISMA</w:t>
      </w:r>
    </w:p>
    <w:p w14:paraId="5D09A461" w14:textId="77777777" w:rsidR="00DD70D5" w:rsidRPr="004C174D" w:rsidRDefault="00DD70D5" w:rsidP="00697BAF">
      <w:pPr>
        <w:keepNext/>
        <w:spacing w:after="0"/>
      </w:pPr>
      <w:r w:rsidRPr="004C174D">
        <w:rPr>
          <w:rFonts w:eastAsia="Ancizar Sans" w:cstheme="minorHAnsi"/>
          <w:noProof/>
        </w:rPr>
        <mc:AlternateContent>
          <mc:Choice Requires="wps">
            <w:drawing>
              <wp:anchor distT="0" distB="0" distL="114300" distR="114300" simplePos="0" relativeHeight="251658240" behindDoc="0" locked="0" layoutInCell="1" allowOverlap="1" wp14:anchorId="1180F0B6" wp14:editId="19106E22">
                <wp:simplePos x="0" y="0"/>
                <wp:positionH relativeFrom="column">
                  <wp:posOffset>4006850</wp:posOffset>
                </wp:positionH>
                <wp:positionV relativeFrom="paragraph">
                  <wp:posOffset>1616547</wp:posOffset>
                </wp:positionV>
                <wp:extent cx="1862356" cy="95634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62356" cy="956345"/>
                        </a:xfrm>
                        <a:prstGeom prst="rect">
                          <a:avLst/>
                        </a:prstGeom>
                        <a:noFill/>
                        <a:ln w="6350">
                          <a:noFill/>
                        </a:ln>
                      </wps:spPr>
                      <wps:txbx>
                        <w:txbxContent>
                          <w:p w14:paraId="5B502512" w14:textId="547F17C2" w:rsidR="00DD70D5" w:rsidRPr="002D6DEA" w:rsidRDefault="00DD70D5" w:rsidP="002D6DEA">
                            <w:pPr>
                              <w:spacing w:after="0" w:line="240" w:lineRule="auto"/>
                              <w:rPr>
                                <w:rFonts w:asciiTheme="majorHAnsi" w:hAnsiTheme="majorHAnsi" w:cstheme="majorHAnsi"/>
                                <w:b/>
                                <w:bCs/>
                                <w:sz w:val="15"/>
                                <w:szCs w:val="15"/>
                              </w:rPr>
                            </w:pPr>
                            <w:r w:rsidRPr="002D6DEA">
                              <w:rPr>
                                <w:rFonts w:asciiTheme="majorHAnsi" w:hAnsiTheme="majorHAnsi" w:cstheme="majorHAnsi"/>
                                <w:b/>
                                <w:bCs/>
                                <w:sz w:val="15"/>
                                <w:szCs w:val="15"/>
                              </w:rPr>
                              <w:t xml:space="preserve">Razones de </w:t>
                            </w:r>
                            <w:r w:rsidR="0029266C" w:rsidRPr="002D6DEA">
                              <w:rPr>
                                <w:rFonts w:asciiTheme="majorHAnsi" w:hAnsiTheme="majorHAnsi" w:cstheme="majorHAnsi"/>
                                <w:b/>
                                <w:bCs/>
                                <w:sz w:val="15"/>
                                <w:szCs w:val="15"/>
                              </w:rPr>
                              <w:t>exclusión</w:t>
                            </w:r>
                            <w:r w:rsidRPr="002D6DEA">
                              <w:rPr>
                                <w:rFonts w:asciiTheme="majorHAnsi" w:hAnsiTheme="majorHAnsi" w:cstheme="majorHAnsi"/>
                                <w:b/>
                                <w:bCs/>
                                <w:sz w:val="15"/>
                                <w:szCs w:val="15"/>
                              </w:rPr>
                              <w:t xml:space="preserve">: </w:t>
                            </w:r>
                          </w:p>
                          <w:p w14:paraId="2CAB034D" w14:textId="205445A7" w:rsidR="00DD70D5" w:rsidRPr="002D6DEA" w:rsidRDefault="00DD70D5" w:rsidP="002D6DEA">
                            <w:pPr>
                              <w:spacing w:after="0" w:line="240" w:lineRule="auto"/>
                              <w:rPr>
                                <w:rFonts w:asciiTheme="majorHAnsi" w:hAnsiTheme="majorHAnsi" w:cstheme="majorHAnsi"/>
                                <w:sz w:val="15"/>
                                <w:szCs w:val="15"/>
                              </w:rPr>
                            </w:pPr>
                            <w:r w:rsidRPr="002D6DEA">
                              <w:rPr>
                                <w:rFonts w:asciiTheme="majorHAnsi" w:hAnsiTheme="majorHAnsi" w:cstheme="majorHAnsi"/>
                                <w:sz w:val="15"/>
                                <w:szCs w:val="15"/>
                              </w:rPr>
                              <w:t>1. No corresponden a</w:t>
                            </w:r>
                            <w:r w:rsidR="0085220D" w:rsidRPr="002D6DEA">
                              <w:rPr>
                                <w:rFonts w:asciiTheme="majorHAnsi" w:hAnsiTheme="majorHAnsi" w:cstheme="majorHAnsi"/>
                                <w:sz w:val="15"/>
                                <w:szCs w:val="15"/>
                              </w:rPr>
                              <w:t xml:space="preserve"> la disciplina</w:t>
                            </w:r>
                            <w:r w:rsidR="00E7199B" w:rsidRPr="002D6DEA">
                              <w:rPr>
                                <w:rFonts w:asciiTheme="majorHAnsi" w:hAnsiTheme="majorHAnsi" w:cstheme="majorHAnsi"/>
                                <w:sz w:val="15"/>
                                <w:szCs w:val="15"/>
                              </w:rPr>
                              <w:t xml:space="preserve"> contable</w:t>
                            </w:r>
                          </w:p>
                          <w:p w14:paraId="37AA59B2" w14:textId="20803E7A" w:rsidR="00DD70D5" w:rsidRPr="002D6DEA" w:rsidRDefault="00DD70D5" w:rsidP="002D6DEA">
                            <w:pPr>
                              <w:spacing w:after="0" w:line="240" w:lineRule="auto"/>
                              <w:rPr>
                                <w:rFonts w:asciiTheme="majorHAnsi" w:hAnsiTheme="majorHAnsi" w:cstheme="majorHAnsi"/>
                                <w:sz w:val="15"/>
                                <w:szCs w:val="15"/>
                              </w:rPr>
                            </w:pPr>
                            <w:r w:rsidRPr="002D6DEA">
                              <w:rPr>
                                <w:rFonts w:asciiTheme="majorHAnsi" w:hAnsiTheme="majorHAnsi" w:cstheme="majorHAnsi"/>
                                <w:sz w:val="15"/>
                                <w:szCs w:val="15"/>
                              </w:rPr>
                              <w:t xml:space="preserve">2. Los artículos no </w:t>
                            </w:r>
                            <w:r w:rsidR="00E7199B" w:rsidRPr="002D6DEA">
                              <w:rPr>
                                <w:rFonts w:asciiTheme="majorHAnsi" w:hAnsiTheme="majorHAnsi" w:cstheme="majorHAnsi"/>
                                <w:sz w:val="15"/>
                                <w:szCs w:val="15"/>
                              </w:rPr>
                              <w:t>desarrollan RSL</w:t>
                            </w:r>
                          </w:p>
                          <w:p w14:paraId="1D3FC866" w14:textId="52FE0DDA" w:rsidR="00DD70D5" w:rsidRPr="002D6DEA" w:rsidRDefault="00DD70D5" w:rsidP="002D6DEA">
                            <w:pPr>
                              <w:spacing w:after="0" w:line="240" w:lineRule="auto"/>
                              <w:rPr>
                                <w:rFonts w:asciiTheme="majorHAnsi" w:hAnsiTheme="majorHAnsi" w:cstheme="majorHAnsi"/>
                                <w:sz w:val="15"/>
                                <w:szCs w:val="15"/>
                              </w:rPr>
                            </w:pPr>
                            <w:r w:rsidRPr="002D6DEA">
                              <w:rPr>
                                <w:rFonts w:asciiTheme="majorHAnsi" w:hAnsiTheme="majorHAnsi" w:cstheme="majorHAnsi"/>
                                <w:sz w:val="15"/>
                                <w:szCs w:val="15"/>
                              </w:rPr>
                              <w:t xml:space="preserve">3. No </w:t>
                            </w:r>
                            <w:r w:rsidR="0014219C">
                              <w:rPr>
                                <w:rFonts w:asciiTheme="majorHAnsi" w:hAnsiTheme="majorHAnsi" w:cstheme="majorHAnsi"/>
                                <w:sz w:val="15"/>
                                <w:szCs w:val="15"/>
                              </w:rPr>
                              <w:t>tratan</w:t>
                            </w:r>
                            <w:r w:rsidRPr="002D6DEA">
                              <w:rPr>
                                <w:rFonts w:asciiTheme="majorHAnsi" w:hAnsiTheme="majorHAnsi" w:cstheme="majorHAnsi"/>
                                <w:sz w:val="15"/>
                                <w:szCs w:val="15"/>
                              </w:rPr>
                              <w:t xml:space="preserve"> sobre la contabilidad sólo abordan teorías de Michel Foucault</w:t>
                            </w:r>
                          </w:p>
                          <w:p w14:paraId="32F7B684" w14:textId="0A3677CF" w:rsidR="00DD70D5" w:rsidRPr="002D6DEA" w:rsidRDefault="00DD70D5" w:rsidP="002D6DEA">
                            <w:pPr>
                              <w:spacing w:after="0" w:line="240" w:lineRule="auto"/>
                              <w:rPr>
                                <w:rFonts w:asciiTheme="majorHAnsi" w:hAnsiTheme="majorHAnsi" w:cstheme="majorHAnsi"/>
                                <w:sz w:val="15"/>
                                <w:szCs w:val="15"/>
                              </w:rPr>
                            </w:pPr>
                            <w:r w:rsidRPr="002D6DEA">
                              <w:rPr>
                                <w:rFonts w:asciiTheme="majorHAnsi" w:hAnsiTheme="majorHAnsi" w:cstheme="majorHAnsi"/>
                                <w:sz w:val="15"/>
                                <w:szCs w:val="15"/>
                              </w:rPr>
                              <w:t xml:space="preserve">4. Tienen otro enfoque </w:t>
                            </w:r>
                            <w:r w:rsidR="0014219C">
                              <w:rPr>
                                <w:rFonts w:asciiTheme="majorHAnsi" w:hAnsiTheme="majorHAnsi" w:cstheme="majorHAnsi"/>
                                <w:sz w:val="15"/>
                                <w:szCs w:val="15"/>
                              </w:rPr>
                              <w:t>teórico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0F0B6" id="_x0000_t202" coordsize="21600,21600" o:spt="202" path="m,l,21600r21600,l21600,xe">
                <v:stroke joinstyle="miter"/>
                <v:path gradientshapeok="t" o:connecttype="rect"/>
              </v:shapetype>
              <v:shape id="Cuadro de texto 4" o:spid="_x0000_s1026" type="#_x0000_t202" style="position:absolute;margin-left:315.5pt;margin-top:127.3pt;width:146.65pt;height:7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" filled="f" stroked="f" strokeweight=".5pt">
                <v:textbox>
                  <w:txbxContent>
                    <w:p w14:paraId="5B502512" w14:textId="547F17C2" w:rsidR="00DD70D5" w:rsidRPr="002D6DEA" w:rsidRDefault="00DD70D5" w:rsidP="002D6DEA">
                      <w:pPr>
                        <w:spacing w:after="0" w:line="240" w:lineRule="auto"/>
                        <w:rPr>
                          <w:rFonts w:asciiTheme="majorHAnsi" w:hAnsiTheme="majorHAnsi" w:cstheme="majorHAnsi"/>
                          <w:b/>
                          <w:bCs/>
                          <w:sz w:val="15"/>
                          <w:szCs w:val="15"/>
                        </w:rPr>
                      </w:pPr>
                      <w:r w:rsidRPr="002D6DEA">
                        <w:rPr>
                          <w:rFonts w:asciiTheme="majorHAnsi" w:hAnsiTheme="majorHAnsi" w:cstheme="majorHAnsi"/>
                          <w:b/>
                          <w:bCs/>
                          <w:sz w:val="15"/>
                          <w:szCs w:val="15"/>
                        </w:rPr>
                        <w:t xml:space="preserve">Razones de </w:t>
                      </w:r>
                      <w:r w:rsidR="0029266C" w:rsidRPr="002D6DEA">
                        <w:rPr>
                          <w:rFonts w:asciiTheme="majorHAnsi" w:hAnsiTheme="majorHAnsi" w:cstheme="majorHAnsi"/>
                          <w:b/>
                          <w:bCs/>
                          <w:sz w:val="15"/>
                          <w:szCs w:val="15"/>
                        </w:rPr>
                        <w:t>exclusión</w:t>
                      </w:r>
                      <w:r w:rsidRPr="002D6DEA">
                        <w:rPr>
                          <w:rFonts w:asciiTheme="majorHAnsi" w:hAnsiTheme="majorHAnsi" w:cstheme="majorHAnsi"/>
                          <w:b/>
                          <w:bCs/>
                          <w:sz w:val="15"/>
                          <w:szCs w:val="15"/>
                        </w:rPr>
                        <w:t xml:space="preserve">: </w:t>
                      </w:r>
                    </w:p>
                    <w:p w14:paraId="2CAB034D" w14:textId="205445A7" w:rsidR="00DD70D5" w:rsidRPr="002D6DEA" w:rsidRDefault="00DD70D5" w:rsidP="002D6DEA">
                      <w:pPr>
                        <w:spacing w:after="0" w:line="240" w:lineRule="auto"/>
                        <w:rPr>
                          <w:rFonts w:asciiTheme="majorHAnsi" w:hAnsiTheme="majorHAnsi" w:cstheme="majorHAnsi"/>
                          <w:sz w:val="15"/>
                          <w:szCs w:val="15"/>
                        </w:rPr>
                      </w:pPr>
                      <w:r w:rsidRPr="002D6DEA">
                        <w:rPr>
                          <w:rFonts w:asciiTheme="majorHAnsi" w:hAnsiTheme="majorHAnsi" w:cstheme="majorHAnsi"/>
                          <w:sz w:val="15"/>
                          <w:szCs w:val="15"/>
                        </w:rPr>
                        <w:t>1. No corresponden a</w:t>
                      </w:r>
                      <w:r w:rsidR="0085220D" w:rsidRPr="002D6DEA">
                        <w:rPr>
                          <w:rFonts w:asciiTheme="majorHAnsi" w:hAnsiTheme="majorHAnsi" w:cstheme="majorHAnsi"/>
                          <w:sz w:val="15"/>
                          <w:szCs w:val="15"/>
                        </w:rPr>
                        <w:t xml:space="preserve"> la disciplina</w:t>
                      </w:r>
                      <w:r w:rsidR="00E7199B" w:rsidRPr="002D6DEA">
                        <w:rPr>
                          <w:rFonts w:asciiTheme="majorHAnsi" w:hAnsiTheme="majorHAnsi" w:cstheme="majorHAnsi"/>
                          <w:sz w:val="15"/>
                          <w:szCs w:val="15"/>
                        </w:rPr>
                        <w:t xml:space="preserve"> contable</w:t>
                      </w:r>
                    </w:p>
                    <w:p w14:paraId="37AA59B2" w14:textId="20803E7A" w:rsidR="00DD70D5" w:rsidRPr="002D6DEA" w:rsidRDefault="00DD70D5" w:rsidP="002D6DEA">
                      <w:pPr>
                        <w:spacing w:after="0" w:line="240" w:lineRule="auto"/>
                        <w:rPr>
                          <w:rFonts w:asciiTheme="majorHAnsi" w:hAnsiTheme="majorHAnsi" w:cstheme="majorHAnsi"/>
                          <w:sz w:val="15"/>
                          <w:szCs w:val="15"/>
                        </w:rPr>
                      </w:pPr>
                      <w:r w:rsidRPr="002D6DEA">
                        <w:rPr>
                          <w:rFonts w:asciiTheme="majorHAnsi" w:hAnsiTheme="majorHAnsi" w:cstheme="majorHAnsi"/>
                          <w:sz w:val="15"/>
                          <w:szCs w:val="15"/>
                        </w:rPr>
                        <w:t xml:space="preserve">2. Los artículos no </w:t>
                      </w:r>
                      <w:r w:rsidR="00E7199B" w:rsidRPr="002D6DEA">
                        <w:rPr>
                          <w:rFonts w:asciiTheme="majorHAnsi" w:hAnsiTheme="majorHAnsi" w:cstheme="majorHAnsi"/>
                          <w:sz w:val="15"/>
                          <w:szCs w:val="15"/>
                        </w:rPr>
                        <w:t>desarrollan RSL</w:t>
                      </w:r>
                    </w:p>
                    <w:p w14:paraId="1D3FC866" w14:textId="52FE0DDA" w:rsidR="00DD70D5" w:rsidRPr="002D6DEA" w:rsidRDefault="00DD70D5" w:rsidP="002D6DEA">
                      <w:pPr>
                        <w:spacing w:after="0" w:line="240" w:lineRule="auto"/>
                        <w:rPr>
                          <w:rFonts w:asciiTheme="majorHAnsi" w:hAnsiTheme="majorHAnsi" w:cstheme="majorHAnsi"/>
                          <w:sz w:val="15"/>
                          <w:szCs w:val="15"/>
                        </w:rPr>
                      </w:pPr>
                      <w:r w:rsidRPr="002D6DEA">
                        <w:rPr>
                          <w:rFonts w:asciiTheme="majorHAnsi" w:hAnsiTheme="majorHAnsi" w:cstheme="majorHAnsi"/>
                          <w:sz w:val="15"/>
                          <w:szCs w:val="15"/>
                        </w:rPr>
                        <w:t xml:space="preserve">3. No </w:t>
                      </w:r>
                      <w:r w:rsidR="0014219C">
                        <w:rPr>
                          <w:rFonts w:asciiTheme="majorHAnsi" w:hAnsiTheme="majorHAnsi" w:cstheme="majorHAnsi"/>
                          <w:sz w:val="15"/>
                          <w:szCs w:val="15"/>
                        </w:rPr>
                        <w:t>tratan</w:t>
                      </w:r>
                      <w:r w:rsidRPr="002D6DEA">
                        <w:rPr>
                          <w:rFonts w:asciiTheme="majorHAnsi" w:hAnsiTheme="majorHAnsi" w:cstheme="majorHAnsi"/>
                          <w:sz w:val="15"/>
                          <w:szCs w:val="15"/>
                        </w:rPr>
                        <w:t xml:space="preserve"> sobre la contabilidad sólo abordan teorías de Michel Foucault</w:t>
                      </w:r>
                    </w:p>
                    <w:p w14:paraId="32F7B684" w14:textId="0A3677CF" w:rsidR="00DD70D5" w:rsidRPr="002D6DEA" w:rsidRDefault="00DD70D5" w:rsidP="002D6DEA">
                      <w:pPr>
                        <w:spacing w:after="0" w:line="240" w:lineRule="auto"/>
                        <w:rPr>
                          <w:rFonts w:asciiTheme="majorHAnsi" w:hAnsiTheme="majorHAnsi" w:cstheme="majorHAnsi"/>
                          <w:sz w:val="15"/>
                          <w:szCs w:val="15"/>
                        </w:rPr>
                      </w:pPr>
                      <w:r w:rsidRPr="002D6DEA">
                        <w:rPr>
                          <w:rFonts w:asciiTheme="majorHAnsi" w:hAnsiTheme="majorHAnsi" w:cstheme="majorHAnsi"/>
                          <w:sz w:val="15"/>
                          <w:szCs w:val="15"/>
                        </w:rPr>
                        <w:t xml:space="preserve">4. Tienen otro enfoque </w:t>
                      </w:r>
                      <w:r w:rsidR="0014219C">
                        <w:rPr>
                          <w:rFonts w:asciiTheme="majorHAnsi" w:hAnsiTheme="majorHAnsi" w:cstheme="majorHAnsi"/>
                          <w:sz w:val="15"/>
                          <w:szCs w:val="15"/>
                        </w:rPr>
                        <w:t>teórico social</w:t>
                      </w:r>
                    </w:p>
                  </w:txbxContent>
                </v:textbox>
              </v:shape>
            </w:pict>
          </mc:Fallback>
        </mc:AlternateContent>
      </w:r>
      <w:r w:rsidRPr="004C174D">
        <w:rPr>
          <w:rFonts w:eastAsia="Ancizar Sans" w:cstheme="minorHAnsi"/>
          <w:noProof/>
        </w:rPr>
        <w:drawing>
          <wp:inline distT="0" distB="0" distL="0" distR="0" wp14:anchorId="6719DD3E" wp14:editId="021A2EA2">
            <wp:extent cx="5745392" cy="3200400"/>
            <wp:effectExtent l="0" t="0" r="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2AAEF9D" w14:textId="21D741CD" w:rsidR="68675208" w:rsidRDefault="68675208" w:rsidP="68675208">
      <w:pPr>
        <w:spacing w:after="0"/>
      </w:pPr>
      <w:r>
        <w:t>Fuente: Elaboración propia</w:t>
      </w:r>
      <w:r w:rsidR="0014219C">
        <w:t>.</w:t>
      </w:r>
    </w:p>
    <w:p w14:paraId="55F401B7" w14:textId="7460D5BE" w:rsidR="00DD70D5" w:rsidRPr="004C174D" w:rsidRDefault="00DD70D5" w:rsidP="00DD70D5">
      <w:pPr>
        <w:spacing w:before="100" w:beforeAutospacing="1" w:after="100" w:afterAutospacing="1"/>
        <w:jc w:val="both"/>
        <w:rPr>
          <w:rFonts w:cstheme="minorHAnsi"/>
        </w:rPr>
      </w:pPr>
      <w:r w:rsidRPr="004C174D">
        <w:rPr>
          <w:rFonts w:cstheme="minorHAnsi"/>
        </w:rPr>
        <w:t xml:space="preserve">Para la extracción de la información se </w:t>
      </w:r>
      <w:r w:rsidR="00530FF4">
        <w:rPr>
          <w:rFonts w:cstheme="minorHAnsi"/>
        </w:rPr>
        <w:t>construyó</w:t>
      </w:r>
      <w:r w:rsidRPr="004C174D">
        <w:rPr>
          <w:rFonts w:cstheme="minorHAnsi"/>
        </w:rPr>
        <w:t xml:space="preserve"> una matriz cuyo objetivo principal es la identificación de los datos bibliográficos de los documentos, especialmente, cinco componentes: la problematización, el </w:t>
      </w:r>
      <w:r w:rsidR="0014761E" w:rsidRPr="004C174D">
        <w:rPr>
          <w:rFonts w:cstheme="minorHAnsi"/>
        </w:rPr>
        <w:t>enfoque</w:t>
      </w:r>
      <w:r w:rsidRPr="004C174D">
        <w:rPr>
          <w:rFonts w:cstheme="minorHAnsi"/>
        </w:rPr>
        <w:t xml:space="preserve"> teórico (el uso de Foucault), </w:t>
      </w:r>
      <w:r w:rsidR="008003DA">
        <w:rPr>
          <w:rFonts w:cstheme="minorHAnsi"/>
        </w:rPr>
        <w:t xml:space="preserve">y </w:t>
      </w:r>
      <w:r w:rsidRPr="004C174D">
        <w:rPr>
          <w:rFonts w:cstheme="minorHAnsi"/>
        </w:rPr>
        <w:t>la metodología</w:t>
      </w:r>
      <w:r w:rsidR="008003DA">
        <w:rPr>
          <w:rFonts w:cstheme="minorHAnsi"/>
        </w:rPr>
        <w:t>;</w:t>
      </w:r>
      <w:r w:rsidRPr="004C174D">
        <w:rPr>
          <w:rFonts w:cstheme="minorHAnsi"/>
        </w:rPr>
        <w:t xml:space="preserve"> quedan pendiente los análisis de</w:t>
      </w:r>
      <w:r w:rsidR="00E7199B">
        <w:rPr>
          <w:rFonts w:cstheme="minorHAnsi"/>
        </w:rPr>
        <w:t xml:space="preserve"> los apartados </w:t>
      </w:r>
      <w:r w:rsidR="008003DA">
        <w:rPr>
          <w:rFonts w:cstheme="minorHAnsi"/>
        </w:rPr>
        <w:t>de</w:t>
      </w:r>
      <w:r w:rsidR="00E7199B">
        <w:rPr>
          <w:rFonts w:cstheme="minorHAnsi"/>
        </w:rPr>
        <w:t xml:space="preserve"> los hallazgos,</w:t>
      </w:r>
      <w:r w:rsidRPr="004C174D">
        <w:rPr>
          <w:rFonts w:cstheme="minorHAnsi"/>
        </w:rPr>
        <w:t xml:space="preserve"> las conclusiones y las futuras líneas de investigación.</w:t>
      </w:r>
    </w:p>
    <w:p w14:paraId="2DCBB175" w14:textId="6ADAC074" w:rsidR="008146F2" w:rsidRPr="00961164" w:rsidRDefault="00BB5444" w:rsidP="00BB5444">
      <w:pPr>
        <w:pStyle w:val="Ttulo2"/>
        <w:numPr>
          <w:ilvl w:val="1"/>
          <w:numId w:val="9"/>
        </w:numPr>
        <w:rPr>
          <w:rFonts w:asciiTheme="minorHAnsi" w:hAnsiTheme="minorHAnsi" w:cstheme="minorBidi"/>
          <w:b/>
          <w:bCs/>
          <w:i/>
          <w:iCs/>
          <w:color w:val="auto"/>
          <w:sz w:val="24"/>
          <w:szCs w:val="24"/>
          <w:lang w:eastAsia="es-ES"/>
        </w:rPr>
      </w:pPr>
      <w:bookmarkStart w:id="14" w:name="_Toc87892833"/>
      <w:r w:rsidRPr="00961164">
        <w:rPr>
          <w:rFonts w:asciiTheme="minorHAnsi" w:hAnsiTheme="minorHAnsi" w:cstheme="minorBidi"/>
          <w:b/>
          <w:bCs/>
          <w:i/>
          <w:iCs/>
          <w:color w:val="auto"/>
          <w:sz w:val="24"/>
          <w:szCs w:val="24"/>
          <w:lang w:eastAsia="es-ES"/>
        </w:rPr>
        <w:t>Análisis</w:t>
      </w:r>
      <w:r w:rsidR="68675208" w:rsidRPr="00961164">
        <w:rPr>
          <w:rFonts w:asciiTheme="minorHAnsi" w:hAnsiTheme="minorHAnsi" w:cstheme="minorBidi"/>
          <w:b/>
          <w:bCs/>
          <w:i/>
          <w:iCs/>
          <w:color w:val="auto"/>
          <w:sz w:val="24"/>
          <w:szCs w:val="24"/>
          <w:lang w:eastAsia="es-ES"/>
        </w:rPr>
        <w:t xml:space="preserve"> de los hallazgos</w:t>
      </w:r>
      <w:bookmarkEnd w:id="14"/>
    </w:p>
    <w:p w14:paraId="40450A35" w14:textId="4CA2AB7A" w:rsidR="68675208" w:rsidRDefault="68675208" w:rsidP="0001713E">
      <w:pPr>
        <w:spacing w:before="100" w:beforeAutospacing="1" w:after="100" w:afterAutospacing="1"/>
        <w:jc w:val="both"/>
      </w:pPr>
      <w:r w:rsidRPr="68675208">
        <w:t>Del procesamiento automático de revisión de los títulos y los resúmenes se obtienen los siguientes resultados.  La Tabla 3 permite deducir que los principales Journals que publican trabajos contables con teoría foucaultiana son AOS y CPA, dos revistas de una amplia tradición alternativa y crítica</w:t>
      </w:r>
      <w:r w:rsidR="008003DA">
        <w:t xml:space="preserve"> del contexto </w:t>
      </w:r>
      <w:proofErr w:type="spellStart"/>
      <w:r w:rsidR="008003DA">
        <w:t>aglosagón</w:t>
      </w:r>
      <w:proofErr w:type="spellEnd"/>
      <w:r w:rsidR="008003DA">
        <w:t>, a</w:t>
      </w:r>
      <w:r w:rsidRPr="68675208">
        <w:t>dscritos al grupo editorial Elsevier</w:t>
      </w:r>
      <w:r w:rsidR="008003DA">
        <w:t>. D</w:t>
      </w:r>
      <w:r w:rsidRPr="68675208">
        <w:t>estaca el número especial de Foucault Studies, una revista de ciencias humanas, dedicad</w:t>
      </w:r>
      <w:r w:rsidR="008003DA">
        <w:t>o</w:t>
      </w:r>
      <w:r w:rsidRPr="68675208">
        <w:t xml:space="preserve"> a la contabilidad.</w:t>
      </w:r>
    </w:p>
    <w:p w14:paraId="71BD6833" w14:textId="59BECB2B" w:rsidR="00DD70D5" w:rsidRPr="003C7827" w:rsidRDefault="68675208" w:rsidP="68675208">
      <w:pPr>
        <w:spacing w:before="100" w:beforeAutospacing="1" w:after="0"/>
        <w:rPr>
          <w:i/>
          <w:iCs/>
        </w:rPr>
      </w:pPr>
      <w:r w:rsidRPr="68675208">
        <w:rPr>
          <w:i/>
          <w:iCs/>
        </w:rPr>
        <w:t>Tabla 3. Journals con mayor concentración de artículos que emplean la perspectiva</w:t>
      </w:r>
    </w:p>
    <w:tbl>
      <w:tblPr>
        <w:tblStyle w:val="Tablanormal5"/>
        <w:tblW w:w="8773" w:type="dxa"/>
        <w:tblLook w:val="04A0" w:firstRow="1" w:lastRow="0" w:firstColumn="1" w:lastColumn="0" w:noHBand="0" w:noVBand="1"/>
      </w:tblPr>
      <w:tblGrid>
        <w:gridCol w:w="7320"/>
        <w:gridCol w:w="1453"/>
      </w:tblGrid>
      <w:tr w:rsidR="00DD70D5" w:rsidRPr="008A0680" w14:paraId="6A9A3F57" w14:textId="77777777" w:rsidTr="68675208">
        <w:trPr>
          <w:cnfStyle w:val="100000000000" w:firstRow="1" w:lastRow="0" w:firstColumn="0" w:lastColumn="0" w:oddVBand="0" w:evenVBand="0" w:oddHBand="0" w:evenHBand="0" w:firstRowFirstColumn="0" w:firstRowLastColumn="0" w:lastRowFirstColumn="0" w:lastRowLastColumn="0"/>
          <w:trHeight w:val="253"/>
        </w:trPr>
        <w:tc>
          <w:tcPr>
            <w:cnfStyle w:val="001000000100" w:firstRow="0" w:lastRow="0" w:firstColumn="1" w:lastColumn="0" w:oddVBand="0" w:evenVBand="0" w:oddHBand="0" w:evenHBand="0" w:firstRowFirstColumn="1" w:firstRowLastColumn="0" w:lastRowFirstColumn="0" w:lastRowLastColumn="0"/>
            <w:tcW w:w="7320" w:type="dxa"/>
            <w:tcBorders>
              <w:top w:val="single" w:sz="4" w:space="0" w:color="auto"/>
            </w:tcBorders>
            <w:shd w:val="clear" w:color="auto" w:fill="auto"/>
          </w:tcPr>
          <w:p w14:paraId="0A537068" w14:textId="77777777" w:rsidR="00DD70D5" w:rsidRPr="008A0680" w:rsidRDefault="68675208" w:rsidP="68675208">
            <w:pPr>
              <w:rPr>
                <w:rFonts w:asciiTheme="minorHAnsi" w:hAnsiTheme="minorHAnsi" w:cstheme="minorBidi"/>
                <w:i w:val="0"/>
                <w:iCs w:val="0"/>
                <w:sz w:val="22"/>
                <w:szCs w:val="22"/>
              </w:rPr>
            </w:pPr>
            <w:r w:rsidRPr="68675208">
              <w:rPr>
                <w:rFonts w:asciiTheme="minorHAnsi" w:hAnsiTheme="minorHAnsi" w:cstheme="minorBidi"/>
                <w:i w:val="0"/>
                <w:iCs w:val="0"/>
                <w:sz w:val="22"/>
                <w:szCs w:val="22"/>
              </w:rPr>
              <w:t>Journal</w:t>
            </w:r>
          </w:p>
        </w:tc>
        <w:tc>
          <w:tcPr>
            <w:tcW w:w="1453" w:type="dxa"/>
            <w:tcBorders>
              <w:top w:val="single" w:sz="4" w:space="0" w:color="auto"/>
            </w:tcBorders>
            <w:shd w:val="clear" w:color="auto" w:fill="auto"/>
          </w:tcPr>
          <w:p w14:paraId="3E0BED45" w14:textId="77377FCB" w:rsidR="00DD70D5" w:rsidRPr="008A0680" w:rsidRDefault="68675208" w:rsidP="6867520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i w:val="0"/>
                <w:iCs w:val="0"/>
                <w:sz w:val="22"/>
                <w:szCs w:val="22"/>
              </w:rPr>
            </w:pPr>
            <w:r w:rsidRPr="68675208">
              <w:rPr>
                <w:rFonts w:asciiTheme="minorHAnsi" w:hAnsiTheme="minorHAnsi" w:cstheme="minorBidi"/>
                <w:i w:val="0"/>
                <w:iCs w:val="0"/>
                <w:sz w:val="22"/>
                <w:szCs w:val="22"/>
              </w:rPr>
              <w:t>Artículos</w:t>
            </w:r>
          </w:p>
        </w:tc>
      </w:tr>
      <w:tr w:rsidR="00DD70D5" w:rsidRPr="008A0680" w14:paraId="6E1DC08A" w14:textId="77777777" w:rsidTr="6867520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7320" w:type="dxa"/>
            <w:tcBorders>
              <w:right w:val="none" w:sz="0" w:space="0" w:color="auto"/>
            </w:tcBorders>
            <w:shd w:val="clear" w:color="auto" w:fill="auto"/>
          </w:tcPr>
          <w:p w14:paraId="3A7CCD30" w14:textId="77777777" w:rsidR="00DD70D5" w:rsidRPr="008A0680" w:rsidRDefault="68675208" w:rsidP="68675208">
            <w:pPr>
              <w:rPr>
                <w:rFonts w:asciiTheme="minorHAnsi" w:hAnsiTheme="minorHAnsi" w:cstheme="minorBidi"/>
                <w:i w:val="0"/>
                <w:iCs w:val="0"/>
                <w:sz w:val="22"/>
                <w:szCs w:val="22"/>
              </w:rPr>
            </w:pPr>
            <w:r w:rsidRPr="68675208">
              <w:rPr>
                <w:rFonts w:asciiTheme="minorHAnsi" w:hAnsiTheme="minorHAnsi" w:cstheme="minorBidi"/>
                <w:i w:val="0"/>
                <w:iCs w:val="0"/>
                <w:sz w:val="22"/>
                <w:szCs w:val="22"/>
              </w:rPr>
              <w:t>Accounting, Organizations and Society</w:t>
            </w:r>
          </w:p>
        </w:tc>
        <w:tc>
          <w:tcPr>
            <w:tcW w:w="1453" w:type="dxa"/>
            <w:tcBorders>
              <w:top w:val="single" w:sz="4" w:space="0" w:color="7F7F7F" w:themeColor="text1" w:themeTint="80"/>
            </w:tcBorders>
            <w:shd w:val="clear" w:color="auto" w:fill="auto"/>
          </w:tcPr>
          <w:p w14:paraId="60D88972"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171</w:t>
            </w:r>
          </w:p>
        </w:tc>
      </w:tr>
      <w:tr w:rsidR="00DD70D5" w:rsidRPr="008A0680" w14:paraId="6C10A9DD" w14:textId="77777777" w:rsidTr="68675208">
        <w:trPr>
          <w:trHeight w:val="253"/>
        </w:trPr>
        <w:tc>
          <w:tcPr>
            <w:cnfStyle w:val="001000000000" w:firstRow="0" w:lastRow="0" w:firstColumn="1" w:lastColumn="0" w:oddVBand="0" w:evenVBand="0" w:oddHBand="0" w:evenHBand="0" w:firstRowFirstColumn="0" w:firstRowLastColumn="0" w:lastRowFirstColumn="0" w:lastRowLastColumn="0"/>
            <w:tcW w:w="7320" w:type="dxa"/>
            <w:tcBorders>
              <w:right w:val="none" w:sz="0" w:space="0" w:color="auto"/>
            </w:tcBorders>
            <w:shd w:val="clear" w:color="auto" w:fill="auto"/>
            <w:hideMark/>
          </w:tcPr>
          <w:p w14:paraId="06705E14" w14:textId="77777777" w:rsidR="00DD70D5" w:rsidRPr="008A0680" w:rsidRDefault="68675208" w:rsidP="68675208">
            <w:pPr>
              <w:rPr>
                <w:rFonts w:asciiTheme="minorHAnsi" w:hAnsiTheme="minorHAnsi" w:cstheme="minorBidi"/>
                <w:i w:val="0"/>
                <w:iCs w:val="0"/>
                <w:sz w:val="22"/>
                <w:szCs w:val="22"/>
              </w:rPr>
            </w:pPr>
            <w:r w:rsidRPr="68675208">
              <w:rPr>
                <w:rFonts w:asciiTheme="minorHAnsi" w:hAnsiTheme="minorHAnsi" w:cstheme="minorBidi"/>
                <w:i w:val="0"/>
                <w:iCs w:val="0"/>
                <w:sz w:val="22"/>
                <w:szCs w:val="22"/>
              </w:rPr>
              <w:t>Critical Perspectives on Accounting</w:t>
            </w:r>
          </w:p>
        </w:tc>
        <w:tc>
          <w:tcPr>
            <w:tcW w:w="1453" w:type="dxa"/>
            <w:shd w:val="clear" w:color="auto" w:fill="auto"/>
            <w:hideMark/>
          </w:tcPr>
          <w:p w14:paraId="1FD5E721"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102</w:t>
            </w:r>
          </w:p>
        </w:tc>
      </w:tr>
      <w:tr w:rsidR="00DD70D5" w:rsidRPr="008A0680" w14:paraId="67831A88" w14:textId="77777777" w:rsidTr="6867520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20" w:type="dxa"/>
            <w:tcBorders>
              <w:right w:val="none" w:sz="0" w:space="0" w:color="auto"/>
            </w:tcBorders>
            <w:shd w:val="clear" w:color="auto" w:fill="auto"/>
            <w:hideMark/>
          </w:tcPr>
          <w:p w14:paraId="56516B0F" w14:textId="77777777" w:rsidR="00DD70D5" w:rsidRPr="008A0680" w:rsidRDefault="68675208" w:rsidP="68675208">
            <w:pPr>
              <w:rPr>
                <w:rFonts w:asciiTheme="minorHAnsi" w:hAnsiTheme="minorHAnsi" w:cstheme="minorBidi"/>
                <w:i w:val="0"/>
                <w:iCs w:val="0"/>
                <w:sz w:val="22"/>
                <w:szCs w:val="22"/>
              </w:rPr>
            </w:pPr>
            <w:r w:rsidRPr="68675208">
              <w:rPr>
                <w:rFonts w:asciiTheme="minorHAnsi" w:hAnsiTheme="minorHAnsi" w:cstheme="minorBidi"/>
                <w:i w:val="0"/>
                <w:iCs w:val="0"/>
                <w:sz w:val="22"/>
                <w:szCs w:val="22"/>
              </w:rPr>
              <w:t xml:space="preserve">Critical Perspectives on </w:t>
            </w:r>
            <w:proofErr w:type="spellStart"/>
            <w:r w:rsidRPr="68675208">
              <w:rPr>
                <w:rFonts w:asciiTheme="minorHAnsi" w:hAnsiTheme="minorHAnsi" w:cstheme="minorBidi"/>
                <w:i w:val="0"/>
                <w:iCs w:val="0"/>
                <w:sz w:val="22"/>
                <w:szCs w:val="22"/>
              </w:rPr>
              <w:t>Taxation</w:t>
            </w:r>
            <w:proofErr w:type="spellEnd"/>
          </w:p>
        </w:tc>
        <w:tc>
          <w:tcPr>
            <w:tcW w:w="1453" w:type="dxa"/>
            <w:shd w:val="clear" w:color="auto" w:fill="auto"/>
            <w:hideMark/>
          </w:tcPr>
          <w:p w14:paraId="0C850E52"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3</w:t>
            </w:r>
          </w:p>
        </w:tc>
      </w:tr>
      <w:tr w:rsidR="00DD70D5" w:rsidRPr="008A0680" w14:paraId="13C01F9A" w14:textId="77777777" w:rsidTr="68675208">
        <w:trPr>
          <w:trHeight w:val="253"/>
        </w:trPr>
        <w:tc>
          <w:tcPr>
            <w:cnfStyle w:val="001000000000" w:firstRow="0" w:lastRow="0" w:firstColumn="1" w:lastColumn="0" w:oddVBand="0" w:evenVBand="0" w:oddHBand="0" w:evenHBand="0" w:firstRowFirstColumn="0" w:firstRowLastColumn="0" w:lastRowFirstColumn="0" w:lastRowLastColumn="0"/>
            <w:tcW w:w="7320" w:type="dxa"/>
            <w:tcBorders>
              <w:right w:val="none" w:sz="0" w:space="0" w:color="auto"/>
            </w:tcBorders>
            <w:shd w:val="clear" w:color="auto" w:fill="auto"/>
            <w:hideMark/>
          </w:tcPr>
          <w:p w14:paraId="2B9DBCD5" w14:textId="77777777" w:rsidR="00DD70D5" w:rsidRPr="008A0680" w:rsidRDefault="68675208" w:rsidP="68675208">
            <w:pPr>
              <w:rPr>
                <w:rFonts w:asciiTheme="minorHAnsi" w:hAnsiTheme="minorHAnsi" w:cstheme="minorBidi"/>
                <w:i w:val="0"/>
                <w:iCs w:val="0"/>
                <w:sz w:val="22"/>
                <w:szCs w:val="22"/>
              </w:rPr>
            </w:pPr>
            <w:r w:rsidRPr="68675208">
              <w:rPr>
                <w:rFonts w:asciiTheme="minorHAnsi" w:hAnsiTheme="minorHAnsi" w:cstheme="minorBidi"/>
                <w:i w:val="0"/>
                <w:iCs w:val="0"/>
                <w:sz w:val="22"/>
                <w:szCs w:val="22"/>
              </w:rPr>
              <w:t xml:space="preserve">Accounting </w:t>
            </w:r>
            <w:proofErr w:type="spellStart"/>
            <w:r w:rsidRPr="68675208">
              <w:rPr>
                <w:rFonts w:asciiTheme="minorHAnsi" w:hAnsiTheme="minorHAnsi" w:cstheme="minorBidi"/>
                <w:i w:val="0"/>
                <w:iCs w:val="0"/>
                <w:sz w:val="22"/>
                <w:szCs w:val="22"/>
              </w:rPr>
              <w:t>History</w:t>
            </w:r>
            <w:proofErr w:type="spellEnd"/>
          </w:p>
        </w:tc>
        <w:tc>
          <w:tcPr>
            <w:tcW w:w="1453" w:type="dxa"/>
            <w:shd w:val="clear" w:color="auto" w:fill="auto"/>
            <w:hideMark/>
          </w:tcPr>
          <w:p w14:paraId="5D6200A8"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3</w:t>
            </w:r>
          </w:p>
        </w:tc>
      </w:tr>
      <w:tr w:rsidR="00DD70D5" w:rsidRPr="008A0680" w14:paraId="1C77F8DF" w14:textId="77777777" w:rsidTr="68675208">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7320" w:type="dxa"/>
            <w:tcBorders>
              <w:right w:val="none" w:sz="0" w:space="0" w:color="auto"/>
            </w:tcBorders>
            <w:shd w:val="clear" w:color="auto" w:fill="auto"/>
            <w:hideMark/>
          </w:tcPr>
          <w:p w14:paraId="4C890001" w14:textId="77777777" w:rsidR="00DD70D5" w:rsidRPr="008A0680" w:rsidRDefault="68675208" w:rsidP="68675208">
            <w:pPr>
              <w:rPr>
                <w:rFonts w:asciiTheme="minorHAnsi" w:hAnsiTheme="minorHAnsi" w:cstheme="minorBidi"/>
                <w:i w:val="0"/>
                <w:iCs w:val="0"/>
                <w:sz w:val="22"/>
                <w:szCs w:val="22"/>
              </w:rPr>
            </w:pPr>
            <w:r w:rsidRPr="68675208">
              <w:rPr>
                <w:rFonts w:asciiTheme="minorHAnsi" w:hAnsiTheme="minorHAnsi" w:cstheme="minorBidi"/>
                <w:i w:val="0"/>
                <w:iCs w:val="0"/>
                <w:sz w:val="22"/>
                <w:szCs w:val="22"/>
              </w:rPr>
              <w:t>Foucault Studies</w:t>
            </w:r>
          </w:p>
        </w:tc>
        <w:tc>
          <w:tcPr>
            <w:tcW w:w="1453" w:type="dxa"/>
            <w:shd w:val="clear" w:color="auto" w:fill="auto"/>
            <w:hideMark/>
          </w:tcPr>
          <w:p w14:paraId="3ED214E2"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3</w:t>
            </w:r>
          </w:p>
        </w:tc>
      </w:tr>
      <w:tr w:rsidR="00DD70D5" w:rsidRPr="008A0680" w14:paraId="0DC396FF" w14:textId="77777777" w:rsidTr="68675208">
        <w:trPr>
          <w:trHeight w:val="260"/>
        </w:trPr>
        <w:tc>
          <w:tcPr>
            <w:cnfStyle w:val="001000000000" w:firstRow="0" w:lastRow="0" w:firstColumn="1" w:lastColumn="0" w:oddVBand="0" w:evenVBand="0" w:oddHBand="0" w:evenHBand="0" w:firstRowFirstColumn="0" w:firstRowLastColumn="0" w:lastRowFirstColumn="0" w:lastRowLastColumn="0"/>
            <w:tcW w:w="7320" w:type="dxa"/>
            <w:tcBorders>
              <w:bottom w:val="single" w:sz="4" w:space="0" w:color="auto"/>
              <w:right w:val="none" w:sz="0" w:space="0" w:color="auto"/>
            </w:tcBorders>
            <w:shd w:val="clear" w:color="auto" w:fill="auto"/>
            <w:hideMark/>
          </w:tcPr>
          <w:p w14:paraId="41934386" w14:textId="77777777" w:rsidR="00DD70D5" w:rsidRPr="008A0680" w:rsidRDefault="68675208" w:rsidP="68675208">
            <w:pPr>
              <w:rPr>
                <w:rFonts w:asciiTheme="minorHAnsi" w:hAnsiTheme="minorHAnsi" w:cstheme="minorBidi"/>
                <w:i w:val="0"/>
                <w:iCs w:val="0"/>
                <w:sz w:val="22"/>
                <w:szCs w:val="22"/>
                <w:lang w:val="en-US"/>
              </w:rPr>
            </w:pPr>
            <w:r w:rsidRPr="68675208">
              <w:rPr>
                <w:rFonts w:asciiTheme="minorHAnsi" w:hAnsiTheme="minorHAnsi" w:cstheme="minorBidi"/>
                <w:i w:val="0"/>
                <w:iCs w:val="0"/>
                <w:sz w:val="22"/>
                <w:szCs w:val="22"/>
                <w:lang w:val="en-US"/>
              </w:rPr>
              <w:t>Accounting, Auditing and Accountability Journal</w:t>
            </w:r>
          </w:p>
        </w:tc>
        <w:tc>
          <w:tcPr>
            <w:tcW w:w="1453" w:type="dxa"/>
            <w:tcBorders>
              <w:bottom w:val="single" w:sz="4" w:space="0" w:color="auto"/>
            </w:tcBorders>
            <w:shd w:val="clear" w:color="auto" w:fill="auto"/>
            <w:hideMark/>
          </w:tcPr>
          <w:p w14:paraId="49925494"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2</w:t>
            </w:r>
          </w:p>
        </w:tc>
      </w:tr>
    </w:tbl>
    <w:p w14:paraId="3382C5EB" w14:textId="5D0848A1" w:rsidR="68675208" w:rsidRDefault="68675208" w:rsidP="0001713E">
      <w:pPr>
        <w:spacing w:after="100" w:afterAutospacing="1"/>
      </w:pPr>
      <w:r w:rsidRPr="68675208">
        <w:t>Fuente: Elaboración propia</w:t>
      </w:r>
      <w:r w:rsidR="0014219C">
        <w:t>.</w:t>
      </w:r>
    </w:p>
    <w:p w14:paraId="4C26843C" w14:textId="5A4A6EB6" w:rsidR="68675208" w:rsidRDefault="68675208" w:rsidP="68675208">
      <w:pPr>
        <w:spacing w:after="0"/>
        <w:jc w:val="both"/>
      </w:pPr>
      <w:r>
        <w:t>Por otro lado, la autoría y coautoría del mayor número de artículos publicados se presenta</w:t>
      </w:r>
      <w:r w:rsidR="008003DA">
        <w:t>n</w:t>
      </w:r>
      <w:r>
        <w:t xml:space="preserve"> en la Tabla 4 y en la Ilustración 4, </w:t>
      </w:r>
      <w:r w:rsidR="008003DA">
        <w:t>donde</w:t>
      </w:r>
      <w:r>
        <w:t xml:space="preserve"> se identifica una continuidad en el uso del marco y una articulación entre </w:t>
      </w:r>
      <w:r>
        <w:lastRenderedPageBreak/>
        <w:t xml:space="preserve">personas e instituciones para la difusión y </w:t>
      </w:r>
      <w:r w:rsidR="008003DA">
        <w:t xml:space="preserve">el </w:t>
      </w:r>
      <w:r>
        <w:t>afianzamiento de este enfoque entre quienes participan de la comunidad académica contable a nivel internacional.</w:t>
      </w:r>
    </w:p>
    <w:p w14:paraId="23847753" w14:textId="14BAB502" w:rsidR="00DD70D5" w:rsidRPr="003C7827" w:rsidRDefault="001B2980" w:rsidP="00084C39">
      <w:pPr>
        <w:spacing w:before="100" w:beforeAutospacing="1" w:after="0"/>
        <w:rPr>
          <w:rFonts w:cstheme="minorHAnsi"/>
          <w:i/>
          <w:iCs/>
        </w:rPr>
      </w:pPr>
      <w:r w:rsidRPr="003C7827">
        <w:rPr>
          <w:rFonts w:cstheme="minorHAnsi"/>
          <w:i/>
          <w:iCs/>
        </w:rPr>
        <w:t>Tabla 4</w:t>
      </w:r>
      <w:r w:rsidR="00697BAF" w:rsidRPr="003C7827">
        <w:rPr>
          <w:rFonts w:cstheme="minorHAnsi"/>
          <w:i/>
          <w:iCs/>
        </w:rPr>
        <w:t>.</w:t>
      </w:r>
      <w:r w:rsidRPr="003C7827">
        <w:rPr>
          <w:rFonts w:cstheme="minorHAnsi"/>
          <w:i/>
          <w:iCs/>
        </w:rPr>
        <w:t xml:space="preserve"> Autores/as con mayor número de publicaciones </w:t>
      </w:r>
      <w:r w:rsidR="00084C39" w:rsidRPr="003C7827">
        <w:rPr>
          <w:rFonts w:cstheme="minorHAnsi"/>
          <w:i/>
          <w:iCs/>
        </w:rPr>
        <w:t>en la perspectiva</w:t>
      </w:r>
    </w:p>
    <w:tbl>
      <w:tblPr>
        <w:tblStyle w:val="Tablanormal3"/>
        <w:tblW w:w="9307" w:type="dxa"/>
        <w:tblLook w:val="04A0" w:firstRow="1" w:lastRow="0" w:firstColumn="1" w:lastColumn="0" w:noHBand="0" w:noVBand="1"/>
      </w:tblPr>
      <w:tblGrid>
        <w:gridCol w:w="7275"/>
        <w:gridCol w:w="2032"/>
      </w:tblGrid>
      <w:tr w:rsidR="00DD70D5" w:rsidRPr="008A0680" w14:paraId="42848554" w14:textId="77777777" w:rsidTr="68675208">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7275" w:type="dxa"/>
            <w:tcBorders>
              <w:top w:val="single" w:sz="4" w:space="0" w:color="auto"/>
            </w:tcBorders>
            <w:shd w:val="clear" w:color="auto" w:fill="auto"/>
          </w:tcPr>
          <w:p w14:paraId="2BE277F5" w14:textId="77777777" w:rsidR="00DD70D5" w:rsidRPr="008A0680" w:rsidRDefault="68675208" w:rsidP="68675208">
            <w:pPr>
              <w:jc w:val="right"/>
              <w:rPr>
                <w:b w:val="0"/>
                <w:bCs w:val="0"/>
                <w:sz w:val="22"/>
                <w:szCs w:val="22"/>
              </w:rPr>
            </w:pPr>
            <w:r w:rsidRPr="68675208">
              <w:rPr>
                <w:b w:val="0"/>
                <w:bCs w:val="0"/>
                <w:caps w:val="0"/>
                <w:sz w:val="22"/>
                <w:szCs w:val="22"/>
              </w:rPr>
              <w:t>Nombre</w:t>
            </w:r>
          </w:p>
        </w:tc>
        <w:tc>
          <w:tcPr>
            <w:tcW w:w="2032" w:type="dxa"/>
            <w:tcBorders>
              <w:top w:val="single" w:sz="4" w:space="0" w:color="auto"/>
            </w:tcBorders>
            <w:shd w:val="clear" w:color="auto" w:fill="auto"/>
          </w:tcPr>
          <w:p w14:paraId="2A20AC73" w14:textId="65A182CF" w:rsidR="00DD70D5" w:rsidRPr="008A0680" w:rsidRDefault="68675208" w:rsidP="68675208">
            <w:pPr>
              <w:cnfStyle w:val="100000000000" w:firstRow="1" w:lastRow="0" w:firstColumn="0" w:lastColumn="0" w:oddVBand="0" w:evenVBand="0" w:oddHBand="0" w:evenHBand="0" w:firstRowFirstColumn="0" w:firstRowLastColumn="0" w:lastRowFirstColumn="0" w:lastRowLastColumn="0"/>
              <w:rPr>
                <w:b w:val="0"/>
                <w:bCs w:val="0"/>
                <w:sz w:val="22"/>
                <w:szCs w:val="22"/>
              </w:rPr>
            </w:pPr>
            <w:r w:rsidRPr="68675208">
              <w:rPr>
                <w:b w:val="0"/>
                <w:bCs w:val="0"/>
                <w:caps w:val="0"/>
                <w:sz w:val="22"/>
                <w:szCs w:val="22"/>
              </w:rPr>
              <w:t>No. de Artículos</w:t>
            </w:r>
          </w:p>
        </w:tc>
      </w:tr>
      <w:tr w:rsidR="00DD70D5" w:rsidRPr="008A0680" w14:paraId="04DE2283" w14:textId="77777777" w:rsidTr="6867520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70FBC147" w14:textId="77777777" w:rsidR="00DD70D5" w:rsidRPr="008A0680" w:rsidRDefault="68675208" w:rsidP="68675208">
            <w:pPr>
              <w:jc w:val="right"/>
              <w:rPr>
                <w:b w:val="0"/>
                <w:bCs w:val="0"/>
                <w:sz w:val="22"/>
                <w:szCs w:val="22"/>
              </w:rPr>
            </w:pPr>
            <w:r w:rsidRPr="68675208">
              <w:rPr>
                <w:b w:val="0"/>
                <w:bCs w:val="0"/>
                <w:caps w:val="0"/>
                <w:sz w:val="22"/>
                <w:szCs w:val="22"/>
              </w:rPr>
              <w:t>Gendron, Yves</w:t>
            </w:r>
          </w:p>
        </w:tc>
        <w:tc>
          <w:tcPr>
            <w:tcW w:w="2032" w:type="dxa"/>
            <w:tcBorders>
              <w:top w:val="single" w:sz="4" w:space="0" w:color="7F7F7F" w:themeColor="text1" w:themeTint="80"/>
            </w:tcBorders>
            <w:shd w:val="clear" w:color="auto" w:fill="auto"/>
            <w:hideMark/>
          </w:tcPr>
          <w:p w14:paraId="0532B1DD"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12</w:t>
            </w:r>
          </w:p>
        </w:tc>
      </w:tr>
      <w:tr w:rsidR="00DD70D5" w:rsidRPr="008A0680" w14:paraId="1A2CD78D" w14:textId="77777777" w:rsidTr="68675208">
        <w:trPr>
          <w:trHeight w:val="141"/>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58DEAA0B" w14:textId="77777777" w:rsidR="00DD70D5" w:rsidRPr="008A0680" w:rsidRDefault="68675208" w:rsidP="68675208">
            <w:pPr>
              <w:jc w:val="right"/>
              <w:rPr>
                <w:b w:val="0"/>
                <w:bCs w:val="0"/>
                <w:sz w:val="22"/>
                <w:szCs w:val="22"/>
              </w:rPr>
            </w:pPr>
            <w:r w:rsidRPr="68675208">
              <w:rPr>
                <w:b w:val="0"/>
                <w:bCs w:val="0"/>
                <w:caps w:val="0"/>
                <w:sz w:val="22"/>
                <w:szCs w:val="22"/>
              </w:rPr>
              <w:t>Neu, Dean</w:t>
            </w:r>
          </w:p>
        </w:tc>
        <w:tc>
          <w:tcPr>
            <w:tcW w:w="2032" w:type="dxa"/>
            <w:shd w:val="clear" w:color="auto" w:fill="auto"/>
            <w:hideMark/>
          </w:tcPr>
          <w:p w14:paraId="712E5983"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12</w:t>
            </w:r>
          </w:p>
        </w:tc>
      </w:tr>
      <w:tr w:rsidR="00DD70D5" w:rsidRPr="008A0680" w14:paraId="646BD4CA" w14:textId="77777777" w:rsidTr="6867520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4555F17F" w14:textId="77777777" w:rsidR="00DD70D5" w:rsidRPr="008A0680" w:rsidRDefault="68675208" w:rsidP="68675208">
            <w:pPr>
              <w:jc w:val="right"/>
              <w:rPr>
                <w:b w:val="0"/>
                <w:bCs w:val="0"/>
                <w:sz w:val="22"/>
                <w:szCs w:val="22"/>
              </w:rPr>
            </w:pPr>
            <w:r w:rsidRPr="68675208">
              <w:rPr>
                <w:b w:val="0"/>
                <w:bCs w:val="0"/>
                <w:caps w:val="0"/>
                <w:sz w:val="22"/>
                <w:szCs w:val="22"/>
              </w:rPr>
              <w:t xml:space="preserve">Chua, </w:t>
            </w:r>
            <w:proofErr w:type="spellStart"/>
            <w:r w:rsidRPr="68675208">
              <w:rPr>
                <w:b w:val="0"/>
                <w:bCs w:val="0"/>
                <w:caps w:val="0"/>
                <w:sz w:val="22"/>
                <w:szCs w:val="22"/>
              </w:rPr>
              <w:t>Wai</w:t>
            </w:r>
            <w:proofErr w:type="spellEnd"/>
            <w:r w:rsidRPr="68675208">
              <w:rPr>
                <w:b w:val="0"/>
                <w:bCs w:val="0"/>
                <w:caps w:val="0"/>
                <w:sz w:val="22"/>
                <w:szCs w:val="22"/>
              </w:rPr>
              <w:t xml:space="preserve"> </w:t>
            </w:r>
            <w:proofErr w:type="spellStart"/>
            <w:r w:rsidRPr="68675208">
              <w:rPr>
                <w:b w:val="0"/>
                <w:bCs w:val="0"/>
                <w:caps w:val="0"/>
                <w:sz w:val="22"/>
                <w:szCs w:val="22"/>
              </w:rPr>
              <w:t>Fong</w:t>
            </w:r>
            <w:proofErr w:type="spellEnd"/>
          </w:p>
        </w:tc>
        <w:tc>
          <w:tcPr>
            <w:tcW w:w="2032" w:type="dxa"/>
            <w:shd w:val="clear" w:color="auto" w:fill="auto"/>
            <w:hideMark/>
          </w:tcPr>
          <w:p w14:paraId="0D1E7499"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9</w:t>
            </w:r>
          </w:p>
        </w:tc>
      </w:tr>
      <w:tr w:rsidR="00DD70D5" w:rsidRPr="008A0680" w14:paraId="52329779" w14:textId="77777777" w:rsidTr="68675208">
        <w:trPr>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17CF46F7" w14:textId="77777777" w:rsidR="00DD70D5" w:rsidRPr="008A0680" w:rsidRDefault="68675208" w:rsidP="68675208">
            <w:pPr>
              <w:jc w:val="right"/>
              <w:rPr>
                <w:b w:val="0"/>
                <w:bCs w:val="0"/>
                <w:sz w:val="22"/>
                <w:szCs w:val="22"/>
              </w:rPr>
            </w:pPr>
            <w:r w:rsidRPr="68675208">
              <w:rPr>
                <w:b w:val="0"/>
                <w:bCs w:val="0"/>
                <w:caps w:val="0"/>
                <w:sz w:val="22"/>
                <w:szCs w:val="22"/>
              </w:rPr>
              <w:t>Cooper, David J.</w:t>
            </w:r>
          </w:p>
        </w:tc>
        <w:tc>
          <w:tcPr>
            <w:tcW w:w="2032" w:type="dxa"/>
            <w:shd w:val="clear" w:color="auto" w:fill="auto"/>
            <w:hideMark/>
          </w:tcPr>
          <w:p w14:paraId="05E235B2"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7</w:t>
            </w:r>
          </w:p>
        </w:tc>
      </w:tr>
      <w:tr w:rsidR="00DD70D5" w:rsidRPr="008A0680" w14:paraId="56461725" w14:textId="77777777" w:rsidTr="6867520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79E9E46E" w14:textId="77777777" w:rsidR="00DD70D5" w:rsidRPr="008A0680" w:rsidRDefault="68675208" w:rsidP="68675208">
            <w:pPr>
              <w:jc w:val="right"/>
              <w:rPr>
                <w:b w:val="0"/>
                <w:bCs w:val="0"/>
                <w:sz w:val="22"/>
                <w:szCs w:val="22"/>
              </w:rPr>
            </w:pPr>
            <w:r w:rsidRPr="68675208">
              <w:rPr>
                <w:b w:val="0"/>
                <w:bCs w:val="0"/>
                <w:caps w:val="0"/>
                <w:sz w:val="22"/>
                <w:szCs w:val="22"/>
              </w:rPr>
              <w:t>Robson, Keith</w:t>
            </w:r>
          </w:p>
        </w:tc>
        <w:tc>
          <w:tcPr>
            <w:tcW w:w="2032" w:type="dxa"/>
            <w:shd w:val="clear" w:color="auto" w:fill="auto"/>
            <w:hideMark/>
          </w:tcPr>
          <w:p w14:paraId="1CED4A3F"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7</w:t>
            </w:r>
          </w:p>
        </w:tc>
      </w:tr>
      <w:tr w:rsidR="00DD70D5" w:rsidRPr="008A0680" w14:paraId="37F130D6" w14:textId="77777777" w:rsidTr="68675208">
        <w:trPr>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59F2D27D" w14:textId="77777777" w:rsidR="00DD70D5" w:rsidRPr="008A0680" w:rsidRDefault="68675208" w:rsidP="68675208">
            <w:pPr>
              <w:jc w:val="right"/>
              <w:rPr>
                <w:b w:val="0"/>
                <w:bCs w:val="0"/>
                <w:sz w:val="22"/>
                <w:szCs w:val="22"/>
              </w:rPr>
            </w:pPr>
            <w:proofErr w:type="spellStart"/>
            <w:r w:rsidRPr="68675208">
              <w:rPr>
                <w:b w:val="0"/>
                <w:bCs w:val="0"/>
                <w:caps w:val="0"/>
                <w:sz w:val="22"/>
                <w:szCs w:val="22"/>
              </w:rPr>
              <w:t>Willmott</w:t>
            </w:r>
            <w:proofErr w:type="spellEnd"/>
            <w:r w:rsidRPr="68675208">
              <w:rPr>
                <w:b w:val="0"/>
                <w:bCs w:val="0"/>
                <w:caps w:val="0"/>
                <w:sz w:val="22"/>
                <w:szCs w:val="22"/>
              </w:rPr>
              <w:t>, Hugh</w:t>
            </w:r>
          </w:p>
        </w:tc>
        <w:tc>
          <w:tcPr>
            <w:tcW w:w="2032" w:type="dxa"/>
            <w:shd w:val="clear" w:color="auto" w:fill="auto"/>
            <w:hideMark/>
          </w:tcPr>
          <w:p w14:paraId="5381DC67"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6</w:t>
            </w:r>
          </w:p>
        </w:tc>
      </w:tr>
      <w:tr w:rsidR="00DD70D5" w:rsidRPr="008A0680" w14:paraId="1A4E59EE" w14:textId="77777777" w:rsidTr="6867520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3AEB5E47" w14:textId="77777777" w:rsidR="00DD70D5" w:rsidRPr="008A0680" w:rsidRDefault="68675208" w:rsidP="68675208">
            <w:pPr>
              <w:jc w:val="right"/>
              <w:rPr>
                <w:b w:val="0"/>
                <w:bCs w:val="0"/>
                <w:sz w:val="22"/>
                <w:szCs w:val="22"/>
              </w:rPr>
            </w:pPr>
            <w:r w:rsidRPr="68675208">
              <w:rPr>
                <w:b w:val="0"/>
                <w:bCs w:val="0"/>
                <w:caps w:val="0"/>
                <w:sz w:val="22"/>
                <w:szCs w:val="22"/>
              </w:rPr>
              <w:t>Young, Joni J.</w:t>
            </w:r>
          </w:p>
        </w:tc>
        <w:tc>
          <w:tcPr>
            <w:tcW w:w="2032" w:type="dxa"/>
            <w:shd w:val="clear" w:color="auto" w:fill="auto"/>
            <w:hideMark/>
          </w:tcPr>
          <w:p w14:paraId="728CB024"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5</w:t>
            </w:r>
          </w:p>
        </w:tc>
      </w:tr>
      <w:tr w:rsidR="00DD70D5" w:rsidRPr="008A0680" w14:paraId="716EFC77" w14:textId="77777777" w:rsidTr="68675208">
        <w:trPr>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4ADCB4E2" w14:textId="77777777" w:rsidR="00DD70D5" w:rsidRPr="008A0680" w:rsidRDefault="68675208" w:rsidP="68675208">
            <w:pPr>
              <w:jc w:val="right"/>
              <w:rPr>
                <w:b w:val="0"/>
                <w:bCs w:val="0"/>
                <w:sz w:val="22"/>
                <w:szCs w:val="22"/>
              </w:rPr>
            </w:pPr>
            <w:proofErr w:type="spellStart"/>
            <w:r w:rsidRPr="68675208">
              <w:rPr>
                <w:b w:val="0"/>
                <w:bCs w:val="0"/>
                <w:caps w:val="0"/>
                <w:sz w:val="22"/>
                <w:szCs w:val="22"/>
              </w:rPr>
              <w:t>Jeacle</w:t>
            </w:r>
            <w:proofErr w:type="spellEnd"/>
            <w:r w:rsidRPr="68675208">
              <w:rPr>
                <w:b w:val="0"/>
                <w:bCs w:val="0"/>
                <w:caps w:val="0"/>
                <w:sz w:val="22"/>
                <w:szCs w:val="22"/>
              </w:rPr>
              <w:t>, Ingrid</w:t>
            </w:r>
          </w:p>
        </w:tc>
        <w:tc>
          <w:tcPr>
            <w:tcW w:w="2032" w:type="dxa"/>
            <w:shd w:val="clear" w:color="auto" w:fill="auto"/>
            <w:hideMark/>
          </w:tcPr>
          <w:p w14:paraId="10142F80"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5</w:t>
            </w:r>
          </w:p>
        </w:tc>
      </w:tr>
      <w:tr w:rsidR="00DD70D5" w:rsidRPr="008A0680" w14:paraId="289E6881" w14:textId="77777777" w:rsidTr="6867520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49D85F8F" w14:textId="77777777" w:rsidR="00DD70D5" w:rsidRPr="008A0680" w:rsidRDefault="68675208" w:rsidP="68675208">
            <w:pPr>
              <w:jc w:val="right"/>
              <w:rPr>
                <w:b w:val="0"/>
                <w:bCs w:val="0"/>
                <w:sz w:val="22"/>
                <w:szCs w:val="22"/>
              </w:rPr>
            </w:pPr>
            <w:proofErr w:type="spellStart"/>
            <w:r w:rsidRPr="68675208">
              <w:rPr>
                <w:b w:val="0"/>
                <w:bCs w:val="0"/>
                <w:caps w:val="0"/>
                <w:sz w:val="22"/>
                <w:szCs w:val="22"/>
              </w:rPr>
              <w:t>Ezzamel</w:t>
            </w:r>
            <w:proofErr w:type="spellEnd"/>
            <w:r w:rsidRPr="68675208">
              <w:rPr>
                <w:b w:val="0"/>
                <w:bCs w:val="0"/>
                <w:caps w:val="0"/>
                <w:sz w:val="22"/>
                <w:szCs w:val="22"/>
              </w:rPr>
              <w:t xml:space="preserve">, </w:t>
            </w:r>
            <w:proofErr w:type="spellStart"/>
            <w:r w:rsidRPr="68675208">
              <w:rPr>
                <w:b w:val="0"/>
                <w:bCs w:val="0"/>
                <w:caps w:val="0"/>
                <w:sz w:val="22"/>
                <w:szCs w:val="22"/>
              </w:rPr>
              <w:t>Mahmoud</w:t>
            </w:r>
            <w:proofErr w:type="spellEnd"/>
          </w:p>
        </w:tc>
        <w:tc>
          <w:tcPr>
            <w:tcW w:w="2032" w:type="dxa"/>
            <w:shd w:val="clear" w:color="auto" w:fill="auto"/>
            <w:hideMark/>
          </w:tcPr>
          <w:p w14:paraId="0CD6D462"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5</w:t>
            </w:r>
          </w:p>
        </w:tc>
      </w:tr>
      <w:tr w:rsidR="00DD70D5" w:rsidRPr="008A0680" w14:paraId="05F2D2D9" w14:textId="77777777" w:rsidTr="68675208">
        <w:trPr>
          <w:trHeight w:val="141"/>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601BD97B" w14:textId="77777777" w:rsidR="00DD70D5" w:rsidRPr="008A0680" w:rsidRDefault="68675208" w:rsidP="68675208">
            <w:pPr>
              <w:jc w:val="right"/>
              <w:rPr>
                <w:b w:val="0"/>
                <w:bCs w:val="0"/>
                <w:sz w:val="22"/>
                <w:szCs w:val="22"/>
              </w:rPr>
            </w:pPr>
            <w:r w:rsidRPr="68675208">
              <w:rPr>
                <w:b w:val="0"/>
                <w:bCs w:val="0"/>
                <w:caps w:val="0"/>
                <w:sz w:val="22"/>
                <w:szCs w:val="22"/>
              </w:rPr>
              <w:t>Miller, Peter</w:t>
            </w:r>
          </w:p>
        </w:tc>
        <w:tc>
          <w:tcPr>
            <w:tcW w:w="2032" w:type="dxa"/>
            <w:shd w:val="clear" w:color="auto" w:fill="auto"/>
            <w:hideMark/>
          </w:tcPr>
          <w:p w14:paraId="27731B80"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5</w:t>
            </w:r>
          </w:p>
        </w:tc>
      </w:tr>
      <w:tr w:rsidR="00DD70D5" w:rsidRPr="008A0680" w14:paraId="76F99C21" w14:textId="77777777" w:rsidTr="68675208">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7275" w:type="dxa"/>
            <w:tcBorders>
              <w:right w:val="none" w:sz="0" w:space="0" w:color="auto"/>
            </w:tcBorders>
            <w:shd w:val="clear" w:color="auto" w:fill="auto"/>
            <w:hideMark/>
          </w:tcPr>
          <w:p w14:paraId="4F8F7E09" w14:textId="77777777" w:rsidR="00DD70D5" w:rsidRPr="008A0680" w:rsidRDefault="68675208" w:rsidP="68675208">
            <w:pPr>
              <w:jc w:val="right"/>
              <w:rPr>
                <w:b w:val="0"/>
                <w:bCs w:val="0"/>
                <w:sz w:val="22"/>
                <w:szCs w:val="22"/>
              </w:rPr>
            </w:pPr>
            <w:r w:rsidRPr="68675208">
              <w:rPr>
                <w:b w:val="0"/>
                <w:bCs w:val="0"/>
                <w:caps w:val="0"/>
                <w:sz w:val="22"/>
                <w:szCs w:val="22"/>
              </w:rPr>
              <w:t>Graham, Cameron</w:t>
            </w:r>
          </w:p>
        </w:tc>
        <w:tc>
          <w:tcPr>
            <w:tcW w:w="2032" w:type="dxa"/>
            <w:shd w:val="clear" w:color="auto" w:fill="auto"/>
            <w:hideMark/>
          </w:tcPr>
          <w:p w14:paraId="4EE309BE" w14:textId="77777777" w:rsidR="00DD70D5" w:rsidRPr="008A0680" w:rsidRDefault="68675208" w:rsidP="68675208">
            <w:pPr>
              <w:cnfStyle w:val="000000100000" w:firstRow="0" w:lastRow="0" w:firstColumn="0" w:lastColumn="0" w:oddVBand="0" w:evenVBand="0" w:oddHBand="1" w:evenHBand="0" w:firstRowFirstColumn="0" w:firstRowLastColumn="0" w:lastRowFirstColumn="0" w:lastRowLastColumn="0"/>
              <w:rPr>
                <w:sz w:val="22"/>
                <w:szCs w:val="22"/>
              </w:rPr>
            </w:pPr>
            <w:r w:rsidRPr="68675208">
              <w:rPr>
                <w:sz w:val="22"/>
                <w:szCs w:val="22"/>
              </w:rPr>
              <w:t>5</w:t>
            </w:r>
          </w:p>
        </w:tc>
      </w:tr>
      <w:tr w:rsidR="00DD70D5" w:rsidRPr="008A0680" w14:paraId="6AD99658" w14:textId="77777777" w:rsidTr="68675208">
        <w:trPr>
          <w:trHeight w:val="284"/>
        </w:trPr>
        <w:tc>
          <w:tcPr>
            <w:cnfStyle w:val="001000000000" w:firstRow="0" w:lastRow="0" w:firstColumn="1" w:lastColumn="0" w:oddVBand="0" w:evenVBand="0" w:oddHBand="0" w:evenHBand="0" w:firstRowFirstColumn="0" w:firstRowLastColumn="0" w:lastRowFirstColumn="0" w:lastRowLastColumn="0"/>
            <w:tcW w:w="7275" w:type="dxa"/>
            <w:tcBorders>
              <w:bottom w:val="single" w:sz="4" w:space="0" w:color="auto"/>
              <w:right w:val="none" w:sz="0" w:space="0" w:color="auto"/>
            </w:tcBorders>
            <w:shd w:val="clear" w:color="auto" w:fill="auto"/>
          </w:tcPr>
          <w:p w14:paraId="60E7A395" w14:textId="77777777" w:rsidR="00DD70D5" w:rsidRPr="008A0680" w:rsidRDefault="68675208" w:rsidP="68675208">
            <w:pPr>
              <w:jc w:val="right"/>
              <w:rPr>
                <w:b w:val="0"/>
                <w:bCs w:val="0"/>
                <w:sz w:val="22"/>
                <w:szCs w:val="22"/>
              </w:rPr>
            </w:pPr>
            <w:r w:rsidRPr="68675208">
              <w:rPr>
                <w:b w:val="0"/>
                <w:bCs w:val="0"/>
                <w:caps w:val="0"/>
                <w:sz w:val="22"/>
                <w:szCs w:val="22"/>
              </w:rPr>
              <w:t>Everett, Jeff</w:t>
            </w:r>
          </w:p>
        </w:tc>
        <w:tc>
          <w:tcPr>
            <w:tcW w:w="2032" w:type="dxa"/>
            <w:tcBorders>
              <w:bottom w:val="single" w:sz="4" w:space="0" w:color="auto"/>
            </w:tcBorders>
            <w:shd w:val="clear" w:color="auto" w:fill="auto"/>
          </w:tcPr>
          <w:p w14:paraId="317B863D" w14:textId="77777777" w:rsidR="00DD70D5" w:rsidRPr="008A0680" w:rsidRDefault="68675208" w:rsidP="68675208">
            <w:pPr>
              <w:cnfStyle w:val="000000000000" w:firstRow="0" w:lastRow="0" w:firstColumn="0" w:lastColumn="0" w:oddVBand="0" w:evenVBand="0" w:oddHBand="0" w:evenHBand="0" w:firstRowFirstColumn="0" w:firstRowLastColumn="0" w:lastRowFirstColumn="0" w:lastRowLastColumn="0"/>
              <w:rPr>
                <w:sz w:val="22"/>
                <w:szCs w:val="22"/>
              </w:rPr>
            </w:pPr>
            <w:r w:rsidRPr="68675208">
              <w:rPr>
                <w:sz w:val="22"/>
                <w:szCs w:val="22"/>
              </w:rPr>
              <w:t>5</w:t>
            </w:r>
          </w:p>
        </w:tc>
      </w:tr>
    </w:tbl>
    <w:p w14:paraId="4007E65C" w14:textId="60CE0018" w:rsidR="00274123" w:rsidRDefault="68675208" w:rsidP="00D121B7">
      <w:pPr>
        <w:spacing w:after="0"/>
        <w:rPr>
          <w:rFonts w:cstheme="minorHAnsi"/>
        </w:rPr>
      </w:pPr>
      <w:r w:rsidRPr="68675208">
        <w:t>Fuente: Elaboración propia</w:t>
      </w:r>
    </w:p>
    <w:p w14:paraId="57674C9F" w14:textId="5C2203DF" w:rsidR="68675208" w:rsidRDefault="68675208" w:rsidP="68675208">
      <w:pPr>
        <w:spacing w:after="0"/>
      </w:pPr>
    </w:p>
    <w:p w14:paraId="3ED2115D" w14:textId="517E74AE" w:rsidR="00274123" w:rsidRPr="003C7827" w:rsidRDefault="007E6AA0" w:rsidP="00274123">
      <w:pPr>
        <w:spacing w:after="0"/>
        <w:rPr>
          <w:rFonts w:cstheme="minorHAnsi"/>
          <w:i/>
          <w:iCs/>
        </w:rPr>
      </w:pPr>
      <w:r w:rsidRPr="003C7827">
        <w:rPr>
          <w:rFonts w:cstheme="minorHAnsi"/>
          <w:i/>
          <w:iCs/>
        </w:rPr>
        <w:t>Ilustración</w:t>
      </w:r>
      <w:r w:rsidR="00274123" w:rsidRPr="003C7827">
        <w:rPr>
          <w:rFonts w:cstheme="minorHAnsi"/>
          <w:i/>
          <w:iCs/>
        </w:rPr>
        <w:t xml:space="preserve"> </w:t>
      </w:r>
      <w:r w:rsidR="00A33476" w:rsidRPr="003C7827">
        <w:rPr>
          <w:rFonts w:cstheme="minorHAnsi"/>
          <w:i/>
          <w:iCs/>
        </w:rPr>
        <w:t>4</w:t>
      </w:r>
      <w:r w:rsidR="00697BAF" w:rsidRPr="003C7827">
        <w:rPr>
          <w:rFonts w:cstheme="minorHAnsi"/>
          <w:i/>
          <w:iCs/>
        </w:rPr>
        <w:t>.</w:t>
      </w:r>
      <w:r w:rsidR="00274123" w:rsidRPr="003C7827">
        <w:rPr>
          <w:rFonts w:cstheme="minorHAnsi"/>
          <w:i/>
          <w:iCs/>
        </w:rPr>
        <w:t xml:space="preserve"> Mapa de autores/as</w:t>
      </w:r>
      <w:r w:rsidR="00084C39" w:rsidRPr="003C7827">
        <w:rPr>
          <w:rFonts w:cstheme="minorHAnsi"/>
          <w:i/>
          <w:iCs/>
        </w:rPr>
        <w:t xml:space="preserve"> y </w:t>
      </w:r>
      <w:r w:rsidR="00F92DC3" w:rsidRPr="003C7827">
        <w:rPr>
          <w:rFonts w:cstheme="minorHAnsi"/>
          <w:i/>
          <w:iCs/>
        </w:rPr>
        <w:t>coautores</w:t>
      </w:r>
      <w:r w:rsidR="00084C39" w:rsidRPr="003C7827">
        <w:rPr>
          <w:rFonts w:cstheme="minorHAnsi"/>
          <w:i/>
          <w:iCs/>
        </w:rPr>
        <w:t xml:space="preserve">/as de los artículos </w:t>
      </w:r>
      <w:r w:rsidR="00102F47" w:rsidRPr="003C7827">
        <w:rPr>
          <w:rFonts w:cstheme="minorHAnsi"/>
          <w:i/>
          <w:iCs/>
        </w:rPr>
        <w:t>del corpus</w:t>
      </w:r>
    </w:p>
    <w:p w14:paraId="3869930C" w14:textId="77777777" w:rsidR="00DD70D5" w:rsidRPr="004C174D" w:rsidRDefault="00DD70D5" w:rsidP="00F02133">
      <w:pPr>
        <w:spacing w:after="0"/>
        <w:jc w:val="center"/>
      </w:pPr>
      <w:r>
        <w:rPr>
          <w:noProof/>
        </w:rPr>
        <w:drawing>
          <wp:inline distT="0" distB="0" distL="0" distR="0" wp14:anchorId="2C8D5C96" wp14:editId="678D9866">
            <wp:extent cx="5763180" cy="2046914"/>
            <wp:effectExtent l="0" t="0" r="3175" b="0"/>
            <wp:docPr id="9"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FF2B5EF4-FFF2-40B4-BE49-F238E27FC236}">
                          <a16:creationId xmlns="" xmlns:o="urn:schemas-microsoft-com:office:office" xmlns:v="urn:schemas-microsoft-com:vml" xmlns:w10="urn:schemas-microsoft-com:office:word" xmlns:w="http://schemas.openxmlformats.org/wordprocessingml/2006/main" xmlns:dgm="http://schemas.openxmlformats.org/drawingml/2006/diagram" xmlns:a14="http://schemas.microsoft.com/office/drawing/2010/main" xmlns:a16="http://schemas.microsoft.com/office/drawing/2014/main" xmlns:arto="http://schemas.microsoft.com/office/word/2006/arto" id="{F6B3DDA2-6E25-ED41-BCB5-D9EB5511AE69}"/>
                        </a:ext>
                      </a:extLst>
                    </a:blip>
                    <a:srcRect t="23244" b="22618"/>
                    <a:stretch>
                      <a:fillRect/>
                    </a:stretch>
                  </pic:blipFill>
                  <pic:spPr>
                    <a:xfrm>
                      <a:off x="0" y="0"/>
                      <a:ext cx="5763180" cy="2046914"/>
                    </a:xfrm>
                    <a:prstGeom prst="rect">
                      <a:avLst/>
                    </a:prstGeom>
                  </pic:spPr>
                </pic:pic>
              </a:graphicData>
            </a:graphic>
          </wp:inline>
        </w:drawing>
      </w:r>
    </w:p>
    <w:p w14:paraId="20EDCD0D" w14:textId="75266547" w:rsidR="68675208" w:rsidRDefault="68675208" w:rsidP="68675208">
      <w:pPr>
        <w:spacing w:after="0"/>
      </w:pPr>
      <w:r w:rsidRPr="68675208">
        <w:t xml:space="preserve">Fuente: Elaboración propia usando </w:t>
      </w:r>
      <w:proofErr w:type="spellStart"/>
      <w:r w:rsidR="0001713E">
        <w:t>VosViewer</w:t>
      </w:r>
      <w:proofErr w:type="spellEnd"/>
      <w:r w:rsidR="0014219C">
        <w:t>.</w:t>
      </w:r>
    </w:p>
    <w:p w14:paraId="15FAB506" w14:textId="39316C63" w:rsidR="68675208" w:rsidRDefault="68675208" w:rsidP="0001713E">
      <w:pPr>
        <w:spacing w:before="100" w:beforeAutospacing="1" w:after="100" w:afterAutospacing="1"/>
        <w:jc w:val="both"/>
      </w:pPr>
      <w:r>
        <w:t>Así mismo, como se presenta en las Ilustraciones 5 y 6, los principales ejes problemáticos y categorías foucaultianas incluyen el interés público, el neoliberalismo, la gubernamentalidad, la nueva gestión pública, la transparencia, la educación contable, la identidad, entre otras temáticas abordadas.</w:t>
      </w:r>
    </w:p>
    <w:p w14:paraId="07D069DF" w14:textId="77777777" w:rsidR="00731785" w:rsidRDefault="002B6B84" w:rsidP="00731785">
      <w:pPr>
        <w:spacing w:after="0"/>
        <w:rPr>
          <w:i/>
          <w:iCs/>
        </w:rPr>
      </w:pPr>
      <w:r w:rsidRPr="003C7827">
        <w:rPr>
          <w:i/>
          <w:iCs/>
        </w:rPr>
        <w:t xml:space="preserve">Ilustración </w:t>
      </w:r>
      <w:r w:rsidR="00A33476" w:rsidRPr="003C7827">
        <w:rPr>
          <w:i/>
          <w:iCs/>
        </w:rPr>
        <w:t>5.</w:t>
      </w:r>
      <w:r w:rsidR="001534BA" w:rsidRPr="003C7827">
        <w:rPr>
          <w:i/>
          <w:iCs/>
        </w:rPr>
        <w:t xml:space="preserve"> Nube de palabras</w:t>
      </w:r>
      <w:r w:rsidR="00C74FEE" w:rsidRPr="003C7827">
        <w:rPr>
          <w:i/>
          <w:iCs/>
        </w:rPr>
        <w:t xml:space="preserve"> ejes </w:t>
      </w:r>
      <w:r w:rsidR="00280F68" w:rsidRPr="003C7827">
        <w:rPr>
          <w:i/>
          <w:iCs/>
        </w:rPr>
        <w:t>problemáticos en el corpus</w:t>
      </w:r>
    </w:p>
    <w:p w14:paraId="05A9ECE0" w14:textId="5D830E82" w:rsidR="00DD70D5" w:rsidRPr="004C174D" w:rsidRDefault="00BA5875" w:rsidP="00731785">
      <w:pPr>
        <w:spacing w:after="0"/>
        <w:jc w:val="center"/>
      </w:pPr>
      <w:r>
        <w:rPr>
          <w:noProof/>
        </w:rPr>
        <w:drawing>
          <wp:inline distT="0" distB="0" distL="0" distR="0" wp14:anchorId="543483DD" wp14:editId="3819613E">
            <wp:extent cx="3091218" cy="1703115"/>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6889" b="4130"/>
                    <a:stretch/>
                  </pic:blipFill>
                  <pic:spPr bwMode="auto">
                    <a:xfrm>
                      <a:off x="0" y="0"/>
                      <a:ext cx="3144019" cy="1732206"/>
                    </a:xfrm>
                    <a:prstGeom prst="rect">
                      <a:avLst/>
                    </a:prstGeom>
                    <a:ln>
                      <a:noFill/>
                    </a:ln>
                    <a:extLst>
                      <a:ext uri="{53640926-AAD7-44D8-BBD7-CCE9431645EC}">
                        <a14:shadowObscured xmlns:a14="http://schemas.microsoft.com/office/drawing/2010/main"/>
                      </a:ext>
                    </a:extLst>
                  </pic:spPr>
                </pic:pic>
              </a:graphicData>
            </a:graphic>
          </wp:inline>
        </w:drawing>
      </w:r>
    </w:p>
    <w:p w14:paraId="025C0D4E" w14:textId="77777777" w:rsidR="00731785" w:rsidRDefault="68675208" w:rsidP="00731785">
      <w:pPr>
        <w:spacing w:after="100" w:afterAutospacing="1"/>
      </w:pPr>
      <w:r>
        <w:t xml:space="preserve">Fuente: Elaboración propia usando </w:t>
      </w:r>
      <w:proofErr w:type="spellStart"/>
      <w:r w:rsidR="0001713E">
        <w:t>Ryyan</w:t>
      </w:r>
      <w:proofErr w:type="spellEnd"/>
      <w:r w:rsidR="008003DA">
        <w:t>.</w:t>
      </w:r>
    </w:p>
    <w:p w14:paraId="530AF93F" w14:textId="4C87B14A" w:rsidR="00DD70D5" w:rsidRPr="004C174D" w:rsidRDefault="001534BA" w:rsidP="009F4E7F">
      <w:pPr>
        <w:spacing w:after="0"/>
      </w:pPr>
      <w:r w:rsidRPr="003C7827">
        <w:rPr>
          <w:i/>
          <w:iCs/>
        </w:rPr>
        <w:lastRenderedPageBreak/>
        <w:t xml:space="preserve">Ilustración </w:t>
      </w:r>
      <w:r w:rsidR="00A33476" w:rsidRPr="003C7827">
        <w:rPr>
          <w:i/>
          <w:iCs/>
        </w:rPr>
        <w:t>6.</w:t>
      </w:r>
      <w:r w:rsidRPr="003C7827">
        <w:rPr>
          <w:i/>
          <w:iCs/>
        </w:rPr>
        <w:t xml:space="preserve"> </w:t>
      </w:r>
      <w:r w:rsidR="00734986" w:rsidRPr="003C7827">
        <w:rPr>
          <w:i/>
          <w:iCs/>
        </w:rPr>
        <w:t>Mapa de términos</w:t>
      </w:r>
      <w:r w:rsidR="003B3DD5" w:rsidRPr="003C7827">
        <w:rPr>
          <w:i/>
          <w:iCs/>
        </w:rPr>
        <w:t xml:space="preserve"> concurrentes en títulos, resúmenes y palabras clave</w:t>
      </w:r>
      <w:r w:rsidR="00DD70D5">
        <w:rPr>
          <w:noProof/>
        </w:rPr>
        <w:drawing>
          <wp:inline distT="0" distB="0" distL="0" distR="0" wp14:anchorId="4222DF7E" wp14:editId="4ED7A61F">
            <wp:extent cx="5717342" cy="3142369"/>
            <wp:effectExtent l="0" t="0" r="0" b="127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27" cstate="print">
                      <a:extLst>
                        <a:ext uri="{28A0092B-C50C-407E-A947-70E740481C1C}">
                          <a14:useLocalDpi xmlns:a14="http://schemas.microsoft.com/office/drawing/2010/main" val="0"/>
                        </a:ext>
                      </a:extLst>
                    </a:blip>
                    <a:srcRect t="6116"/>
                    <a:stretch/>
                  </pic:blipFill>
                  <pic:spPr bwMode="auto">
                    <a:xfrm>
                      <a:off x="0" y="0"/>
                      <a:ext cx="5733250" cy="3151112"/>
                    </a:xfrm>
                    <a:prstGeom prst="rect">
                      <a:avLst/>
                    </a:prstGeom>
                    <a:ln>
                      <a:noFill/>
                    </a:ln>
                    <a:extLst>
                      <a:ext uri="{53640926-AAD7-44D8-BBD7-CCE9431645EC}">
                        <a14:shadowObscured xmlns:a14="http://schemas.microsoft.com/office/drawing/2010/main"/>
                      </a:ext>
                    </a:extLst>
                  </pic:spPr>
                </pic:pic>
              </a:graphicData>
            </a:graphic>
          </wp:inline>
        </w:drawing>
      </w:r>
    </w:p>
    <w:p w14:paraId="7071BF5F" w14:textId="7CB1B19A" w:rsidR="00274123" w:rsidRDefault="68675208" w:rsidP="00F02133">
      <w:pPr>
        <w:spacing w:after="0"/>
      </w:pPr>
      <w:r>
        <w:t xml:space="preserve">Fuente: Elaboración propia usando </w:t>
      </w:r>
      <w:proofErr w:type="spellStart"/>
      <w:r w:rsidRPr="68675208">
        <w:t>VOSViewer</w:t>
      </w:r>
      <w:proofErr w:type="spellEnd"/>
      <w:r w:rsidR="0014219C">
        <w:t>.</w:t>
      </w:r>
    </w:p>
    <w:p w14:paraId="20F85A70" w14:textId="7BF73392" w:rsidR="68675208" w:rsidRDefault="68675208" w:rsidP="68675208">
      <w:pPr>
        <w:spacing w:after="0"/>
      </w:pPr>
    </w:p>
    <w:p w14:paraId="3BCA5452" w14:textId="0A2289A8" w:rsidR="0007161A" w:rsidRDefault="00A91F16" w:rsidP="008003DA">
      <w:pPr>
        <w:jc w:val="both"/>
        <w:rPr>
          <w:rFonts w:cstheme="minorHAnsi"/>
        </w:rPr>
      </w:pPr>
      <w:r>
        <w:rPr>
          <w:rFonts w:cstheme="minorHAnsi"/>
        </w:rPr>
        <w:t xml:space="preserve">Por último, en términos metodológicos, </w:t>
      </w:r>
      <w:r w:rsidR="00957534">
        <w:rPr>
          <w:rFonts w:cstheme="minorHAnsi"/>
        </w:rPr>
        <w:t xml:space="preserve">como lo muestra la Tabla 5, </w:t>
      </w:r>
      <w:r>
        <w:rPr>
          <w:rFonts w:cstheme="minorHAnsi"/>
        </w:rPr>
        <w:t>las</w:t>
      </w:r>
      <w:r w:rsidR="0007161A" w:rsidRPr="004C174D">
        <w:rPr>
          <w:rFonts w:cstheme="minorHAnsi"/>
        </w:rPr>
        <w:t xml:space="preserve"> principales </w:t>
      </w:r>
      <w:r>
        <w:rPr>
          <w:rFonts w:cstheme="minorHAnsi"/>
        </w:rPr>
        <w:t>herramientas</w:t>
      </w:r>
      <w:r w:rsidR="0007161A" w:rsidRPr="004C174D">
        <w:rPr>
          <w:rFonts w:cstheme="minorHAnsi"/>
        </w:rPr>
        <w:t xml:space="preserve"> de investigación empleadas son</w:t>
      </w:r>
      <w:r>
        <w:rPr>
          <w:rFonts w:cstheme="minorHAnsi"/>
        </w:rPr>
        <w:t xml:space="preserve"> los estudios longitudinales, las</w:t>
      </w:r>
      <w:r w:rsidR="00CC45F0">
        <w:rPr>
          <w:rFonts w:cstheme="minorHAnsi"/>
        </w:rPr>
        <w:t xml:space="preserve"> reseñas, los sondeos y los análisis de casos jurídicos, con una escasa presencia de las revisiones sistemáticas</w:t>
      </w:r>
      <w:r w:rsidR="00957534">
        <w:rPr>
          <w:rFonts w:cstheme="minorHAnsi"/>
        </w:rPr>
        <w:t>.</w:t>
      </w:r>
    </w:p>
    <w:p w14:paraId="6708BEF9" w14:textId="6A07BA09" w:rsidR="00DD70D5" w:rsidRPr="003C7827" w:rsidRDefault="00EB717B" w:rsidP="00EB717B">
      <w:pPr>
        <w:spacing w:before="100" w:beforeAutospacing="1" w:after="0"/>
        <w:rPr>
          <w:rFonts w:cstheme="minorHAnsi"/>
          <w:i/>
          <w:iCs/>
        </w:rPr>
      </w:pPr>
      <w:r w:rsidRPr="003C7827">
        <w:rPr>
          <w:rFonts w:cstheme="minorHAnsi"/>
          <w:i/>
          <w:iCs/>
        </w:rPr>
        <w:t>Tabla 5</w:t>
      </w:r>
      <w:r w:rsidR="00697BAF" w:rsidRPr="003C7827">
        <w:rPr>
          <w:rFonts w:cstheme="minorHAnsi"/>
          <w:i/>
          <w:iCs/>
        </w:rPr>
        <w:t>.</w:t>
      </w:r>
      <w:r w:rsidRPr="003C7827">
        <w:rPr>
          <w:rFonts w:cstheme="minorHAnsi"/>
          <w:i/>
          <w:iCs/>
        </w:rPr>
        <w:t xml:space="preserve"> Métodos empleados en el corpus</w:t>
      </w:r>
    </w:p>
    <w:tbl>
      <w:tblPr>
        <w:tblStyle w:val="Tablanormal5"/>
        <w:tblW w:w="8682" w:type="dxa"/>
        <w:tblLook w:val="04A0" w:firstRow="1" w:lastRow="0" w:firstColumn="1" w:lastColumn="0" w:noHBand="0" w:noVBand="1"/>
      </w:tblPr>
      <w:tblGrid>
        <w:gridCol w:w="7335"/>
        <w:gridCol w:w="1347"/>
      </w:tblGrid>
      <w:tr w:rsidR="00DD70D5" w:rsidRPr="00731785" w14:paraId="4C752834" w14:textId="77777777" w:rsidTr="00731785">
        <w:trPr>
          <w:cnfStyle w:val="100000000000" w:firstRow="1" w:lastRow="0" w:firstColumn="0" w:lastColumn="0" w:oddVBand="0" w:evenVBand="0" w:oddHBand="0" w:evenHBand="0" w:firstRowFirstColumn="0" w:firstRowLastColumn="0" w:lastRowFirstColumn="0" w:lastRowLastColumn="0"/>
          <w:trHeight w:val="311"/>
        </w:trPr>
        <w:tc>
          <w:tcPr>
            <w:cnfStyle w:val="001000000100" w:firstRow="0" w:lastRow="0" w:firstColumn="1" w:lastColumn="0" w:oddVBand="0" w:evenVBand="0" w:oddHBand="0" w:evenHBand="0" w:firstRowFirstColumn="1" w:firstRowLastColumn="0" w:lastRowFirstColumn="0" w:lastRowLastColumn="0"/>
            <w:tcW w:w="7335" w:type="dxa"/>
            <w:tcBorders>
              <w:top w:val="single" w:sz="4" w:space="0" w:color="auto"/>
            </w:tcBorders>
            <w:shd w:val="clear" w:color="auto" w:fill="auto"/>
          </w:tcPr>
          <w:p w14:paraId="55935589" w14:textId="77777777" w:rsidR="00DD70D5" w:rsidRPr="00731785" w:rsidRDefault="68675208" w:rsidP="68675208">
            <w:pPr>
              <w:rPr>
                <w:rFonts w:asciiTheme="minorHAnsi" w:hAnsiTheme="minorHAnsi" w:cstheme="minorBidi"/>
                <w:i w:val="0"/>
                <w:iCs w:val="0"/>
                <w:sz w:val="22"/>
                <w:szCs w:val="20"/>
              </w:rPr>
            </w:pPr>
            <w:r w:rsidRPr="00731785">
              <w:rPr>
                <w:rFonts w:asciiTheme="minorHAnsi" w:hAnsiTheme="minorHAnsi" w:cstheme="minorBidi"/>
                <w:i w:val="0"/>
                <w:iCs w:val="0"/>
                <w:sz w:val="22"/>
                <w:szCs w:val="20"/>
              </w:rPr>
              <w:t>M</w:t>
            </w:r>
            <w:r w:rsidRPr="00731785">
              <w:rPr>
                <w:rFonts w:asciiTheme="minorHAnsi" w:hAnsiTheme="minorHAnsi" w:cstheme="minorBidi"/>
                <w:i w:val="0"/>
                <w:iCs w:val="0"/>
                <w:sz w:val="22"/>
                <w:szCs w:val="20"/>
                <w:lang w:val="es-ES"/>
              </w:rPr>
              <w:t>é</w:t>
            </w:r>
            <w:r w:rsidRPr="00731785">
              <w:rPr>
                <w:rFonts w:asciiTheme="minorHAnsi" w:hAnsiTheme="minorHAnsi" w:cstheme="minorBidi"/>
                <w:i w:val="0"/>
                <w:iCs w:val="0"/>
                <w:sz w:val="22"/>
                <w:szCs w:val="20"/>
              </w:rPr>
              <w:t>todos</w:t>
            </w:r>
          </w:p>
        </w:tc>
        <w:tc>
          <w:tcPr>
            <w:tcW w:w="1347" w:type="dxa"/>
            <w:tcBorders>
              <w:top w:val="single" w:sz="4" w:space="0" w:color="auto"/>
            </w:tcBorders>
            <w:shd w:val="clear" w:color="auto" w:fill="auto"/>
          </w:tcPr>
          <w:p w14:paraId="10454502" w14:textId="681DD5CB" w:rsidR="00DD70D5" w:rsidRPr="00731785" w:rsidRDefault="68675208" w:rsidP="6867520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i w:val="0"/>
                <w:iCs w:val="0"/>
                <w:sz w:val="22"/>
                <w:szCs w:val="20"/>
              </w:rPr>
            </w:pPr>
            <w:r w:rsidRPr="00731785">
              <w:rPr>
                <w:rFonts w:asciiTheme="minorHAnsi" w:hAnsiTheme="minorHAnsi" w:cstheme="minorBidi"/>
                <w:i w:val="0"/>
                <w:iCs w:val="0"/>
                <w:sz w:val="22"/>
                <w:szCs w:val="20"/>
              </w:rPr>
              <w:t>Artículos</w:t>
            </w:r>
          </w:p>
        </w:tc>
      </w:tr>
      <w:tr w:rsidR="00DD70D5" w:rsidRPr="00731785" w14:paraId="5C475FDD" w14:textId="77777777" w:rsidTr="0073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Borders>
              <w:right w:val="none" w:sz="0" w:space="0" w:color="auto"/>
            </w:tcBorders>
            <w:shd w:val="clear" w:color="auto" w:fill="auto"/>
            <w:hideMark/>
          </w:tcPr>
          <w:p w14:paraId="459441DC" w14:textId="6E2496A4" w:rsidR="00DD70D5" w:rsidRPr="00DA6700" w:rsidRDefault="68675208" w:rsidP="68675208">
            <w:pPr>
              <w:rPr>
                <w:rFonts w:asciiTheme="minorHAnsi" w:hAnsiTheme="minorHAnsi" w:cstheme="minorHAnsi"/>
                <w:sz w:val="22"/>
                <w:szCs w:val="20"/>
              </w:rPr>
            </w:pPr>
            <w:r w:rsidRPr="00DA6700">
              <w:rPr>
                <w:rFonts w:asciiTheme="minorHAnsi" w:hAnsiTheme="minorHAnsi" w:cstheme="minorHAnsi"/>
                <w:sz w:val="22"/>
                <w:szCs w:val="20"/>
              </w:rPr>
              <w:t>Longitudinal</w:t>
            </w:r>
          </w:p>
        </w:tc>
        <w:tc>
          <w:tcPr>
            <w:tcW w:w="1347" w:type="dxa"/>
            <w:tcBorders>
              <w:top w:val="single" w:sz="4" w:space="0" w:color="7F7F7F" w:themeColor="text1" w:themeTint="80"/>
            </w:tcBorders>
            <w:shd w:val="clear" w:color="auto" w:fill="auto"/>
            <w:hideMark/>
          </w:tcPr>
          <w:p w14:paraId="63AF6F22" w14:textId="77777777" w:rsidR="00DD70D5" w:rsidRPr="00731785" w:rsidRDefault="68675208" w:rsidP="68675208">
            <w:pPr>
              <w:cnfStyle w:val="000000100000" w:firstRow="0" w:lastRow="0" w:firstColumn="0" w:lastColumn="0" w:oddVBand="0" w:evenVBand="0" w:oddHBand="1" w:evenHBand="0" w:firstRowFirstColumn="0" w:firstRowLastColumn="0" w:lastRowFirstColumn="0" w:lastRowLastColumn="0"/>
              <w:rPr>
                <w:sz w:val="22"/>
                <w:szCs w:val="20"/>
              </w:rPr>
            </w:pPr>
            <w:r w:rsidRPr="00731785">
              <w:rPr>
                <w:sz w:val="22"/>
                <w:szCs w:val="20"/>
              </w:rPr>
              <w:t>8</w:t>
            </w:r>
          </w:p>
        </w:tc>
      </w:tr>
      <w:tr w:rsidR="00DD70D5" w:rsidRPr="00731785" w14:paraId="3B2265BE" w14:textId="77777777" w:rsidTr="00731785">
        <w:tc>
          <w:tcPr>
            <w:cnfStyle w:val="001000000000" w:firstRow="0" w:lastRow="0" w:firstColumn="1" w:lastColumn="0" w:oddVBand="0" w:evenVBand="0" w:oddHBand="0" w:evenHBand="0" w:firstRowFirstColumn="0" w:firstRowLastColumn="0" w:lastRowFirstColumn="0" w:lastRowLastColumn="0"/>
            <w:tcW w:w="7335" w:type="dxa"/>
            <w:tcBorders>
              <w:right w:val="none" w:sz="0" w:space="0" w:color="auto"/>
            </w:tcBorders>
            <w:shd w:val="clear" w:color="auto" w:fill="auto"/>
            <w:hideMark/>
          </w:tcPr>
          <w:p w14:paraId="39358C6F" w14:textId="73D00F54" w:rsidR="00DD70D5" w:rsidRPr="00DA6700" w:rsidRDefault="68675208" w:rsidP="68675208">
            <w:pPr>
              <w:rPr>
                <w:rFonts w:asciiTheme="minorHAnsi" w:hAnsiTheme="minorHAnsi" w:cstheme="minorHAnsi"/>
                <w:sz w:val="22"/>
                <w:szCs w:val="20"/>
              </w:rPr>
            </w:pPr>
            <w:proofErr w:type="spellStart"/>
            <w:r w:rsidRPr="00DA6700">
              <w:rPr>
                <w:rFonts w:asciiTheme="minorHAnsi" w:hAnsiTheme="minorHAnsi" w:cstheme="minorHAnsi"/>
                <w:sz w:val="22"/>
                <w:szCs w:val="20"/>
              </w:rPr>
              <w:t>Reviews</w:t>
            </w:r>
            <w:proofErr w:type="spellEnd"/>
          </w:p>
        </w:tc>
        <w:tc>
          <w:tcPr>
            <w:tcW w:w="1347" w:type="dxa"/>
            <w:shd w:val="clear" w:color="auto" w:fill="auto"/>
            <w:hideMark/>
          </w:tcPr>
          <w:p w14:paraId="56594E6C" w14:textId="58F9BDDE" w:rsidR="00DD70D5" w:rsidRPr="00731785" w:rsidRDefault="68675208" w:rsidP="68675208">
            <w:pPr>
              <w:cnfStyle w:val="000000000000" w:firstRow="0" w:lastRow="0" w:firstColumn="0" w:lastColumn="0" w:oddVBand="0" w:evenVBand="0" w:oddHBand="0" w:evenHBand="0" w:firstRowFirstColumn="0" w:firstRowLastColumn="0" w:lastRowFirstColumn="0" w:lastRowLastColumn="0"/>
              <w:rPr>
                <w:sz w:val="22"/>
                <w:szCs w:val="20"/>
              </w:rPr>
            </w:pPr>
            <w:r w:rsidRPr="00731785">
              <w:rPr>
                <w:sz w:val="22"/>
                <w:szCs w:val="20"/>
              </w:rPr>
              <w:t>5</w:t>
            </w:r>
          </w:p>
        </w:tc>
      </w:tr>
      <w:tr w:rsidR="00DD70D5" w:rsidRPr="00731785" w14:paraId="3E50D105" w14:textId="77777777" w:rsidTr="0073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Borders>
              <w:right w:val="none" w:sz="0" w:space="0" w:color="auto"/>
            </w:tcBorders>
            <w:shd w:val="clear" w:color="auto" w:fill="auto"/>
            <w:hideMark/>
          </w:tcPr>
          <w:p w14:paraId="31A60211" w14:textId="77C26535" w:rsidR="00DD70D5" w:rsidRPr="00DA6700" w:rsidRDefault="68675208" w:rsidP="68675208">
            <w:pPr>
              <w:rPr>
                <w:rFonts w:asciiTheme="minorHAnsi" w:hAnsiTheme="minorHAnsi" w:cstheme="minorHAnsi"/>
                <w:sz w:val="22"/>
                <w:szCs w:val="20"/>
              </w:rPr>
            </w:pPr>
            <w:proofErr w:type="spellStart"/>
            <w:r w:rsidRPr="00DA6700">
              <w:rPr>
                <w:rFonts w:asciiTheme="minorHAnsi" w:hAnsiTheme="minorHAnsi" w:cstheme="minorHAnsi"/>
                <w:sz w:val="22"/>
                <w:szCs w:val="20"/>
              </w:rPr>
              <w:t>Survey</w:t>
            </w:r>
            <w:proofErr w:type="spellEnd"/>
          </w:p>
        </w:tc>
        <w:tc>
          <w:tcPr>
            <w:tcW w:w="1347" w:type="dxa"/>
            <w:shd w:val="clear" w:color="auto" w:fill="auto"/>
            <w:hideMark/>
          </w:tcPr>
          <w:p w14:paraId="48AA0A10" w14:textId="77777777" w:rsidR="00DD70D5" w:rsidRPr="00731785" w:rsidRDefault="68675208" w:rsidP="68675208">
            <w:pPr>
              <w:cnfStyle w:val="000000100000" w:firstRow="0" w:lastRow="0" w:firstColumn="0" w:lastColumn="0" w:oddVBand="0" w:evenVBand="0" w:oddHBand="1" w:evenHBand="0" w:firstRowFirstColumn="0" w:firstRowLastColumn="0" w:lastRowFirstColumn="0" w:lastRowLastColumn="0"/>
              <w:rPr>
                <w:sz w:val="22"/>
                <w:szCs w:val="20"/>
              </w:rPr>
            </w:pPr>
            <w:r w:rsidRPr="00731785">
              <w:rPr>
                <w:sz w:val="22"/>
                <w:szCs w:val="20"/>
              </w:rPr>
              <w:t>2</w:t>
            </w:r>
          </w:p>
        </w:tc>
      </w:tr>
      <w:tr w:rsidR="00DD70D5" w:rsidRPr="00731785" w14:paraId="32838ED9" w14:textId="77777777" w:rsidTr="00731785">
        <w:tc>
          <w:tcPr>
            <w:cnfStyle w:val="001000000000" w:firstRow="0" w:lastRow="0" w:firstColumn="1" w:lastColumn="0" w:oddVBand="0" w:evenVBand="0" w:oddHBand="0" w:evenHBand="0" w:firstRowFirstColumn="0" w:firstRowLastColumn="0" w:lastRowFirstColumn="0" w:lastRowLastColumn="0"/>
            <w:tcW w:w="7335" w:type="dxa"/>
            <w:tcBorders>
              <w:right w:val="none" w:sz="0" w:space="0" w:color="auto"/>
            </w:tcBorders>
            <w:shd w:val="clear" w:color="auto" w:fill="auto"/>
            <w:hideMark/>
          </w:tcPr>
          <w:p w14:paraId="3D6F720D" w14:textId="760844EF" w:rsidR="00DD70D5" w:rsidRPr="00DA6700" w:rsidRDefault="68675208" w:rsidP="68675208">
            <w:pPr>
              <w:rPr>
                <w:rFonts w:asciiTheme="minorHAnsi" w:hAnsiTheme="minorHAnsi" w:cstheme="minorHAnsi"/>
                <w:sz w:val="22"/>
                <w:szCs w:val="20"/>
              </w:rPr>
            </w:pPr>
            <w:proofErr w:type="spellStart"/>
            <w:r w:rsidRPr="00DA6700">
              <w:rPr>
                <w:rFonts w:asciiTheme="minorHAnsi" w:hAnsiTheme="minorHAnsi" w:cstheme="minorHAnsi"/>
                <w:sz w:val="22"/>
                <w:szCs w:val="20"/>
              </w:rPr>
              <w:t>Trials</w:t>
            </w:r>
            <w:proofErr w:type="spellEnd"/>
          </w:p>
        </w:tc>
        <w:tc>
          <w:tcPr>
            <w:tcW w:w="1347" w:type="dxa"/>
            <w:shd w:val="clear" w:color="auto" w:fill="auto"/>
            <w:hideMark/>
          </w:tcPr>
          <w:p w14:paraId="77773044" w14:textId="77777777" w:rsidR="00DD70D5" w:rsidRPr="00731785" w:rsidRDefault="68675208" w:rsidP="68675208">
            <w:pPr>
              <w:cnfStyle w:val="000000000000" w:firstRow="0" w:lastRow="0" w:firstColumn="0" w:lastColumn="0" w:oddVBand="0" w:evenVBand="0" w:oddHBand="0" w:evenHBand="0" w:firstRowFirstColumn="0" w:firstRowLastColumn="0" w:lastRowFirstColumn="0" w:lastRowLastColumn="0"/>
              <w:rPr>
                <w:sz w:val="22"/>
                <w:szCs w:val="20"/>
              </w:rPr>
            </w:pPr>
            <w:r w:rsidRPr="00731785">
              <w:rPr>
                <w:sz w:val="22"/>
                <w:szCs w:val="20"/>
              </w:rPr>
              <w:t>2</w:t>
            </w:r>
          </w:p>
        </w:tc>
      </w:tr>
      <w:tr w:rsidR="00DD70D5" w:rsidRPr="00731785" w14:paraId="6961F332" w14:textId="77777777" w:rsidTr="007317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5" w:type="dxa"/>
            <w:tcBorders>
              <w:bottom w:val="single" w:sz="4" w:space="0" w:color="auto"/>
              <w:right w:val="none" w:sz="0" w:space="0" w:color="auto"/>
            </w:tcBorders>
            <w:shd w:val="clear" w:color="auto" w:fill="auto"/>
            <w:hideMark/>
          </w:tcPr>
          <w:p w14:paraId="7C0BF544" w14:textId="3B08CBBE" w:rsidR="00DD70D5" w:rsidRPr="00DA6700" w:rsidRDefault="68675208" w:rsidP="68675208">
            <w:pPr>
              <w:rPr>
                <w:rFonts w:asciiTheme="minorHAnsi" w:hAnsiTheme="minorHAnsi" w:cstheme="minorHAnsi"/>
                <w:sz w:val="22"/>
                <w:szCs w:val="20"/>
              </w:rPr>
            </w:pPr>
            <w:proofErr w:type="spellStart"/>
            <w:r w:rsidRPr="00DA6700">
              <w:rPr>
                <w:rFonts w:asciiTheme="minorHAnsi" w:hAnsiTheme="minorHAnsi" w:cstheme="minorHAnsi"/>
                <w:sz w:val="22"/>
                <w:szCs w:val="20"/>
              </w:rPr>
              <w:t>Systematic</w:t>
            </w:r>
            <w:proofErr w:type="spellEnd"/>
            <w:r w:rsidRPr="00DA6700">
              <w:rPr>
                <w:rFonts w:asciiTheme="minorHAnsi" w:hAnsiTheme="minorHAnsi" w:cstheme="minorHAnsi"/>
                <w:sz w:val="22"/>
                <w:szCs w:val="20"/>
              </w:rPr>
              <w:t xml:space="preserve"> </w:t>
            </w:r>
            <w:proofErr w:type="spellStart"/>
            <w:r w:rsidRPr="00DA6700">
              <w:rPr>
                <w:rFonts w:asciiTheme="minorHAnsi" w:hAnsiTheme="minorHAnsi" w:cstheme="minorHAnsi"/>
                <w:sz w:val="22"/>
                <w:szCs w:val="20"/>
              </w:rPr>
              <w:t>Review</w:t>
            </w:r>
            <w:proofErr w:type="spellEnd"/>
          </w:p>
        </w:tc>
        <w:tc>
          <w:tcPr>
            <w:tcW w:w="1347" w:type="dxa"/>
            <w:tcBorders>
              <w:bottom w:val="single" w:sz="4" w:space="0" w:color="auto"/>
            </w:tcBorders>
            <w:shd w:val="clear" w:color="auto" w:fill="auto"/>
            <w:hideMark/>
          </w:tcPr>
          <w:p w14:paraId="71CD3B1E" w14:textId="7E5E35AE" w:rsidR="00DD70D5" w:rsidRPr="00731785" w:rsidRDefault="68675208" w:rsidP="68675208">
            <w:pPr>
              <w:cnfStyle w:val="000000100000" w:firstRow="0" w:lastRow="0" w:firstColumn="0" w:lastColumn="0" w:oddVBand="0" w:evenVBand="0" w:oddHBand="1" w:evenHBand="0" w:firstRowFirstColumn="0" w:firstRowLastColumn="0" w:lastRowFirstColumn="0" w:lastRowLastColumn="0"/>
              <w:rPr>
                <w:sz w:val="22"/>
                <w:szCs w:val="20"/>
              </w:rPr>
            </w:pPr>
            <w:r w:rsidRPr="00731785">
              <w:rPr>
                <w:sz w:val="22"/>
                <w:szCs w:val="20"/>
              </w:rPr>
              <w:t>2</w:t>
            </w:r>
          </w:p>
        </w:tc>
      </w:tr>
    </w:tbl>
    <w:p w14:paraId="4FDA1967" w14:textId="04287842" w:rsidR="0029266C" w:rsidRDefault="00574626" w:rsidP="00274123">
      <w:pPr>
        <w:rPr>
          <w:lang w:eastAsia="es-ES_tradnl"/>
        </w:rPr>
      </w:pPr>
      <w:bookmarkStart w:id="15" w:name="_Toc26832215"/>
      <w:r>
        <w:rPr>
          <w:lang w:eastAsia="es-ES_tradnl"/>
        </w:rPr>
        <w:t xml:space="preserve">Fuente: </w:t>
      </w:r>
      <w:r w:rsidR="00C74FEE">
        <w:rPr>
          <w:lang w:eastAsia="es-ES_tradnl"/>
        </w:rPr>
        <w:t>E</w:t>
      </w:r>
      <w:r>
        <w:rPr>
          <w:lang w:eastAsia="es-ES_tradnl"/>
        </w:rPr>
        <w:t>laboración propia</w:t>
      </w:r>
      <w:r w:rsidR="0014219C">
        <w:rPr>
          <w:lang w:eastAsia="es-ES_tradnl"/>
        </w:rPr>
        <w:t>.</w:t>
      </w:r>
    </w:p>
    <w:p w14:paraId="76CBA27F" w14:textId="531A1161" w:rsidR="002078F5" w:rsidRPr="00961164" w:rsidRDefault="68675208" w:rsidP="00961164">
      <w:pPr>
        <w:pStyle w:val="Ttulo2"/>
        <w:numPr>
          <w:ilvl w:val="1"/>
          <w:numId w:val="9"/>
        </w:numPr>
        <w:spacing w:after="240"/>
        <w:rPr>
          <w:rFonts w:asciiTheme="minorHAnsi" w:hAnsiTheme="minorHAnsi" w:cstheme="minorBidi"/>
          <w:b/>
          <w:bCs/>
          <w:i/>
          <w:iCs/>
          <w:color w:val="auto"/>
          <w:sz w:val="24"/>
          <w:szCs w:val="24"/>
          <w:lang w:eastAsia="es-ES"/>
        </w:rPr>
      </w:pPr>
      <w:bookmarkStart w:id="16" w:name="_Toc87892834"/>
      <w:r w:rsidRPr="00961164">
        <w:rPr>
          <w:rFonts w:asciiTheme="minorHAnsi" w:hAnsiTheme="minorHAnsi" w:cstheme="minorBidi"/>
          <w:b/>
          <w:bCs/>
          <w:i/>
          <w:iCs/>
          <w:color w:val="auto"/>
          <w:sz w:val="24"/>
          <w:szCs w:val="24"/>
          <w:lang w:eastAsia="es-ES"/>
        </w:rPr>
        <w:t>Evaluación crítica de las RSL</w:t>
      </w:r>
      <w:bookmarkEnd w:id="16"/>
    </w:p>
    <w:p w14:paraId="72003B08" w14:textId="26397E5C" w:rsidR="00B64A5B" w:rsidRPr="00F60AB5" w:rsidRDefault="68675208" w:rsidP="00743FF4">
      <w:pPr>
        <w:spacing w:after="0"/>
        <w:jc w:val="both"/>
        <w:rPr>
          <w:lang w:eastAsia="es-ES"/>
        </w:rPr>
      </w:pPr>
      <w:r w:rsidRPr="68675208">
        <w:rPr>
          <w:lang w:eastAsia="es-ES"/>
        </w:rPr>
        <w:t xml:space="preserve">Una vez depurado el corpus, se seleccionaron los 7 artículos que presentan una </w:t>
      </w:r>
      <w:r w:rsidR="008003DA">
        <w:rPr>
          <w:lang w:eastAsia="es-ES"/>
        </w:rPr>
        <w:t>RSL, como se muestra en la Tabla 6</w:t>
      </w:r>
      <w:r w:rsidRPr="68675208">
        <w:rPr>
          <w:lang w:eastAsia="es-ES"/>
        </w:rPr>
        <w:t xml:space="preserve">. Para evaluarlas se acudió a la lista de comprobación de la evaluación crítica para las revisiones sistemáticas y síntesis de investigación propuesta por </w:t>
      </w:r>
      <w:r w:rsidRPr="68675208">
        <w:rPr>
          <w:noProof/>
          <w:lang w:eastAsia="es-ES"/>
        </w:rPr>
        <w:t>Aromataris et al.</w:t>
      </w:r>
      <w:r w:rsidRPr="68675208">
        <w:rPr>
          <w:i/>
          <w:iCs/>
          <w:lang w:eastAsia="es-ES"/>
        </w:rPr>
        <w:t xml:space="preserve"> </w:t>
      </w:r>
      <w:r w:rsidR="00AE7C3C" w:rsidRPr="68675208">
        <w:rPr>
          <w:i/>
          <w:iCs/>
          <w:lang w:eastAsia="es-ES"/>
        </w:rPr>
        <w:fldChar w:fldCharType="begin" w:fldLock="1"/>
      </w:r>
      <w:r w:rsidR="00962D29">
        <w:rPr>
          <w:i/>
          <w:iCs/>
          <w:lang w:eastAsia="es-ES"/>
        </w:rPr>
        <w:instrText>ADDIN CSL_CITATION {"citationItems":[{"id":"ITEM-1","itemData":{"DOI":"10.1097/XEB.0000000000000055","abstract":"Aims: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author":[{"dropping-particle":"","family":"Aromataris","given":"Edoardo","non-dropping-particle":"","parse-names":false,"suffix":""},{"dropping-particle":"","family":"Fernandez","given":"Ritin","non-dropping-particle":"","parse-names":false,"suffix":""},{"dropping-particle":"","family":"Godfrey","given":"Christina M.","non-dropping-particle":"","parse-names":false,"suffix":""},{"dropping-particle":"","family":"Holly","given":"Cheryl","non-dropping-particle":"","parse-names":false,"suffix":""},{"dropping-particle":"","family":"Khalil","given":"Hanan","non-dropping-particle":"","parse-names":false,"suffix":""},{"dropping-particle":"","family":"Tungpunkom","given":"Patraporn","non-dropping-particle":"","parse-names":false,"suffix":""}],"container-title":"International Journal of Evidence-Based Healthcare","id":"ITEM-1","issue":"3","issued":{"date-parts":[["2015","9"]]},"page":"132-140","publisher":"Lippincott Williams and Wilkins","title":"Summarizing systematic reviews: Methodological development, conduct and reporting of an umbrella review approach","type":"article-journal","volume":"13"},"uris":["http://www.mendeley.com/documents/?uuid=739f078d-336b-4f3e-8609-749d5538f8d1","http://www.mendeley.com/documents/?uuid=d2c5275d-83ef-4eee-9515-1874a576dde1"]}],"mendeley":{"formattedCitation":"(Aromataris et al., 2015a)","plainTextFormattedCitation":"(Aromataris et al., 2015a)","previouslyFormattedCitation":"(Aromataris et al., 2015a)"},"properties":{"noteIndex":0},"schema":"https://github.com/citation-style-language/schema/raw/master/csl-citation.json"}</w:instrText>
      </w:r>
      <w:r w:rsidR="00AE7C3C" w:rsidRPr="68675208">
        <w:rPr>
          <w:i/>
          <w:iCs/>
          <w:lang w:eastAsia="es-ES"/>
        </w:rPr>
        <w:fldChar w:fldCharType="separate"/>
      </w:r>
      <w:r w:rsidR="00E03420" w:rsidRPr="00E03420">
        <w:rPr>
          <w:noProof/>
          <w:lang w:eastAsia="es-ES"/>
        </w:rPr>
        <w:t>(Aromataris et al., 2015a)</w:t>
      </w:r>
      <w:r w:rsidR="00AE7C3C" w:rsidRPr="68675208">
        <w:rPr>
          <w:i/>
          <w:iCs/>
          <w:lang w:eastAsia="es-ES"/>
        </w:rPr>
        <w:fldChar w:fldCharType="end"/>
      </w:r>
      <w:r w:rsidRPr="68675208">
        <w:rPr>
          <w:lang w:eastAsia="es-ES"/>
        </w:rPr>
        <w:t>:</w:t>
      </w:r>
    </w:p>
    <w:p w14:paraId="0DE59F90" w14:textId="77777777" w:rsidR="00B64A5B" w:rsidRPr="003A514C" w:rsidRDefault="00B64A5B" w:rsidP="0032430B">
      <w:pPr>
        <w:spacing w:after="0"/>
        <w:ind w:left="708"/>
        <w:rPr>
          <w:sz w:val="20"/>
          <w:szCs w:val="20"/>
          <w:lang w:eastAsia="es-ES_tradnl"/>
        </w:rPr>
      </w:pPr>
      <w:r w:rsidRPr="003A514C">
        <w:rPr>
          <w:sz w:val="20"/>
          <w:szCs w:val="20"/>
          <w:lang w:eastAsia="es-ES_tradnl"/>
        </w:rPr>
        <w:t>¿Está la pregunta de la revisión clara y explícita?</w:t>
      </w:r>
    </w:p>
    <w:p w14:paraId="3D272251" w14:textId="77777777" w:rsidR="00B64A5B" w:rsidRPr="003A514C" w:rsidRDefault="00B64A5B" w:rsidP="0032430B">
      <w:pPr>
        <w:spacing w:after="0"/>
        <w:ind w:left="708"/>
        <w:rPr>
          <w:sz w:val="20"/>
          <w:szCs w:val="20"/>
          <w:lang w:eastAsia="es-ES_tradnl"/>
        </w:rPr>
      </w:pPr>
      <w:r w:rsidRPr="003A514C">
        <w:rPr>
          <w:sz w:val="20"/>
          <w:szCs w:val="20"/>
          <w:lang w:eastAsia="es-ES_tradnl"/>
        </w:rPr>
        <w:t>¿Fueron los criterios de inclusión apropiados para la pregunta de revisión?</w:t>
      </w:r>
    </w:p>
    <w:p w14:paraId="215C5073" w14:textId="77777777" w:rsidR="00B64A5B" w:rsidRPr="003A514C" w:rsidRDefault="00B64A5B" w:rsidP="0032430B">
      <w:pPr>
        <w:spacing w:after="0"/>
        <w:ind w:left="708"/>
        <w:rPr>
          <w:sz w:val="20"/>
          <w:szCs w:val="20"/>
          <w:lang w:eastAsia="es-ES_tradnl"/>
        </w:rPr>
      </w:pPr>
      <w:r w:rsidRPr="003A514C">
        <w:rPr>
          <w:sz w:val="20"/>
          <w:szCs w:val="20"/>
          <w:lang w:eastAsia="es-ES_tradnl"/>
        </w:rPr>
        <w:t>¿Fue apropiada la estrategia de búsqueda?</w:t>
      </w:r>
    </w:p>
    <w:p w14:paraId="7076A136" w14:textId="2A15A9AF" w:rsidR="00B64A5B" w:rsidRPr="003A514C" w:rsidRDefault="00B64A5B" w:rsidP="0032430B">
      <w:pPr>
        <w:spacing w:after="0"/>
        <w:ind w:left="708"/>
        <w:rPr>
          <w:sz w:val="20"/>
          <w:szCs w:val="20"/>
          <w:lang w:eastAsia="es-ES_tradnl"/>
        </w:rPr>
      </w:pPr>
      <w:r w:rsidRPr="003A514C">
        <w:rPr>
          <w:sz w:val="20"/>
          <w:szCs w:val="20"/>
          <w:lang w:eastAsia="es-ES_tradnl"/>
        </w:rPr>
        <w:t>¿Las fuentes y los recursos utilizados para la búsqueda de estudios adecuados?</w:t>
      </w:r>
    </w:p>
    <w:p w14:paraId="12138DA1" w14:textId="77777777" w:rsidR="00B64A5B" w:rsidRPr="003A514C" w:rsidRDefault="00B64A5B" w:rsidP="0032430B">
      <w:pPr>
        <w:spacing w:after="0"/>
        <w:ind w:left="708"/>
        <w:rPr>
          <w:sz w:val="20"/>
          <w:szCs w:val="20"/>
          <w:lang w:eastAsia="es-ES_tradnl"/>
        </w:rPr>
      </w:pPr>
      <w:r w:rsidRPr="003A514C">
        <w:rPr>
          <w:sz w:val="20"/>
          <w:szCs w:val="20"/>
          <w:lang w:eastAsia="es-ES_tradnl"/>
        </w:rPr>
        <w:t>¿Fueron adecuados los criterios de valoración de los estudios?</w:t>
      </w:r>
    </w:p>
    <w:p w14:paraId="445C9A20" w14:textId="367AB84A" w:rsidR="00B64A5B" w:rsidRPr="003A514C" w:rsidRDefault="00B64A5B" w:rsidP="0032430B">
      <w:pPr>
        <w:spacing w:after="0"/>
        <w:ind w:left="708"/>
        <w:rPr>
          <w:sz w:val="20"/>
          <w:szCs w:val="20"/>
          <w:lang w:eastAsia="es-ES_tradnl"/>
        </w:rPr>
      </w:pPr>
      <w:r w:rsidRPr="003A514C">
        <w:rPr>
          <w:sz w:val="20"/>
          <w:szCs w:val="20"/>
          <w:lang w:eastAsia="es-ES_tradnl"/>
        </w:rPr>
        <w:t>¿La evaluación crítica fue realizada por dos o más revisores de forma independiente?</w:t>
      </w:r>
    </w:p>
    <w:p w14:paraId="2F918A21" w14:textId="77777777" w:rsidR="00B64A5B" w:rsidRPr="003A514C" w:rsidRDefault="00B64A5B" w:rsidP="0032430B">
      <w:pPr>
        <w:spacing w:after="0"/>
        <w:ind w:left="708"/>
        <w:rPr>
          <w:sz w:val="20"/>
          <w:szCs w:val="20"/>
          <w:lang w:eastAsia="es-ES_tradnl"/>
        </w:rPr>
      </w:pPr>
      <w:r w:rsidRPr="003A514C">
        <w:rPr>
          <w:sz w:val="20"/>
          <w:szCs w:val="20"/>
          <w:lang w:eastAsia="es-ES_tradnl"/>
        </w:rPr>
        <w:t>¿Fueron adecuados los métodos utilizados para combinar los estudios?</w:t>
      </w:r>
    </w:p>
    <w:p w14:paraId="7D6CD8EB" w14:textId="77777777" w:rsidR="00B64A5B" w:rsidRPr="003A514C" w:rsidRDefault="00B64A5B" w:rsidP="0032430B">
      <w:pPr>
        <w:spacing w:after="0"/>
        <w:ind w:left="708"/>
        <w:rPr>
          <w:sz w:val="20"/>
          <w:szCs w:val="20"/>
          <w:lang w:eastAsia="es-ES_tradnl"/>
        </w:rPr>
      </w:pPr>
      <w:r w:rsidRPr="003A514C">
        <w:rPr>
          <w:sz w:val="20"/>
          <w:szCs w:val="20"/>
          <w:lang w:eastAsia="es-ES_tradnl"/>
        </w:rPr>
        <w:t>¿Se evaluó la probabilidad de sesgo de publicación?</w:t>
      </w:r>
    </w:p>
    <w:p w14:paraId="225F64E9" w14:textId="1BA894EC" w:rsidR="00B64A5B" w:rsidRPr="003A514C" w:rsidRDefault="00B64A5B" w:rsidP="0032430B">
      <w:pPr>
        <w:spacing w:after="0"/>
        <w:ind w:left="708"/>
        <w:rPr>
          <w:sz w:val="20"/>
          <w:szCs w:val="20"/>
          <w:lang w:eastAsia="es-ES_tradnl"/>
        </w:rPr>
      </w:pPr>
      <w:r w:rsidRPr="003A514C">
        <w:rPr>
          <w:sz w:val="20"/>
          <w:szCs w:val="20"/>
          <w:lang w:eastAsia="es-ES_tradnl"/>
        </w:rPr>
        <w:t>¿Las recomendaciones para la política y/o la práctica estaban respaldadas por los datos presentados?</w:t>
      </w:r>
    </w:p>
    <w:p w14:paraId="74F69061" w14:textId="467E15BE" w:rsidR="00B64A5B" w:rsidRPr="003A514C" w:rsidRDefault="00B64A5B" w:rsidP="0032430B">
      <w:pPr>
        <w:spacing w:after="0"/>
        <w:ind w:left="708"/>
        <w:rPr>
          <w:sz w:val="20"/>
          <w:szCs w:val="20"/>
          <w:lang w:eastAsia="es-ES_tradnl"/>
        </w:rPr>
      </w:pPr>
      <w:r w:rsidRPr="003A514C">
        <w:rPr>
          <w:sz w:val="20"/>
          <w:szCs w:val="20"/>
          <w:lang w:eastAsia="es-ES_tradnl"/>
        </w:rPr>
        <w:t>¿Fueron adecuadas las directrices específicas para la nueva investigación?</w:t>
      </w:r>
      <w:r w:rsidR="003A514C" w:rsidRPr="003A514C">
        <w:rPr>
          <w:sz w:val="20"/>
          <w:szCs w:val="20"/>
          <w:lang w:eastAsia="es-ES_tradnl"/>
        </w:rPr>
        <w:t xml:space="preserve"> (p.136)</w:t>
      </w:r>
    </w:p>
    <w:p w14:paraId="45791E71" w14:textId="0DABDF0E" w:rsidR="00697BAF" w:rsidRPr="003C7827" w:rsidRDefault="00697BAF" w:rsidP="003C7827">
      <w:pPr>
        <w:spacing w:after="0"/>
        <w:rPr>
          <w:i/>
          <w:iCs/>
          <w:lang w:eastAsia="es-ES_tradnl"/>
        </w:rPr>
      </w:pPr>
      <w:r w:rsidRPr="003C7827">
        <w:rPr>
          <w:i/>
          <w:iCs/>
          <w:lang w:eastAsia="es-ES_tradnl"/>
        </w:rPr>
        <w:lastRenderedPageBreak/>
        <w:t xml:space="preserve">Tabla 6. Revisiones de literatura </w:t>
      </w:r>
      <w:r w:rsidR="00634E8C">
        <w:rPr>
          <w:i/>
          <w:iCs/>
          <w:lang w:eastAsia="es-ES_tradnl"/>
        </w:rPr>
        <w:t>analizadas</w:t>
      </w:r>
    </w:p>
    <w:tbl>
      <w:tblPr>
        <w:tblStyle w:val="Tabladelista1clara"/>
        <w:tblW w:w="8784" w:type="dxa"/>
        <w:jc w:val="center"/>
        <w:tblLook w:val="04A0" w:firstRow="1" w:lastRow="0" w:firstColumn="1" w:lastColumn="0" w:noHBand="0" w:noVBand="1"/>
      </w:tblPr>
      <w:tblGrid>
        <w:gridCol w:w="3645"/>
        <w:gridCol w:w="1425"/>
        <w:gridCol w:w="1184"/>
        <w:gridCol w:w="1232"/>
        <w:gridCol w:w="1298"/>
      </w:tblGrid>
      <w:tr w:rsidR="0011712A" w:rsidRPr="004C174D" w14:paraId="7D464F46" w14:textId="77777777" w:rsidTr="23F3FC1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tcBorders>
              <w:top w:val="single" w:sz="4" w:space="0" w:color="auto"/>
            </w:tcBorders>
            <w:shd w:val="clear" w:color="auto" w:fill="auto"/>
          </w:tcPr>
          <w:p w14:paraId="3797BDA6" w14:textId="77777777" w:rsidR="0029266C" w:rsidRPr="004C174D" w:rsidRDefault="23F3FC12" w:rsidP="23F3FC12">
            <w:pPr>
              <w:spacing w:before="100" w:beforeAutospacing="1" w:after="100" w:afterAutospacing="1"/>
              <w:jc w:val="both"/>
              <w:rPr>
                <w:b w:val="0"/>
                <w:bCs w:val="0"/>
              </w:rPr>
            </w:pPr>
            <w:r w:rsidRPr="23F3FC12">
              <w:rPr>
                <w:b w:val="0"/>
                <w:bCs w:val="0"/>
              </w:rPr>
              <w:t>Artículo de revisión</w:t>
            </w:r>
          </w:p>
        </w:tc>
        <w:tc>
          <w:tcPr>
            <w:tcW w:w="1425" w:type="dxa"/>
            <w:tcBorders>
              <w:top w:val="single" w:sz="4" w:space="0" w:color="auto"/>
            </w:tcBorders>
            <w:shd w:val="clear" w:color="auto" w:fill="auto"/>
          </w:tcPr>
          <w:p w14:paraId="53535CEC" w14:textId="77777777" w:rsidR="0029266C" w:rsidRPr="004C174D" w:rsidRDefault="0029266C" w:rsidP="0076654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4C174D">
              <w:rPr>
                <w:rFonts w:cstheme="minorHAnsi"/>
                <w:b w:val="0"/>
                <w:bCs w:val="0"/>
              </w:rPr>
              <w:t>Título RSL</w:t>
            </w:r>
          </w:p>
        </w:tc>
        <w:tc>
          <w:tcPr>
            <w:tcW w:w="1184" w:type="dxa"/>
            <w:tcBorders>
              <w:top w:val="single" w:sz="4" w:space="0" w:color="auto"/>
            </w:tcBorders>
            <w:shd w:val="clear" w:color="auto" w:fill="auto"/>
          </w:tcPr>
          <w:p w14:paraId="4020BED9" w14:textId="77777777" w:rsidR="0029266C" w:rsidRPr="004C174D" w:rsidRDefault="0029266C" w:rsidP="0076654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4C174D">
              <w:rPr>
                <w:rFonts w:cstheme="minorHAnsi"/>
                <w:b w:val="0"/>
                <w:bCs w:val="0"/>
              </w:rPr>
              <w:t>Método</w:t>
            </w:r>
          </w:p>
        </w:tc>
        <w:tc>
          <w:tcPr>
            <w:tcW w:w="1232" w:type="dxa"/>
            <w:tcBorders>
              <w:top w:val="single" w:sz="4" w:space="0" w:color="auto"/>
            </w:tcBorders>
            <w:shd w:val="clear" w:color="auto" w:fill="auto"/>
          </w:tcPr>
          <w:p w14:paraId="43466100" w14:textId="77777777" w:rsidR="0029266C" w:rsidRPr="004C174D" w:rsidRDefault="0029266C" w:rsidP="0076654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4C174D">
              <w:rPr>
                <w:rFonts w:cstheme="minorHAnsi"/>
                <w:b w:val="0"/>
                <w:bCs w:val="0"/>
              </w:rPr>
              <w:t>Matriz</w:t>
            </w:r>
          </w:p>
        </w:tc>
        <w:tc>
          <w:tcPr>
            <w:tcW w:w="1298" w:type="dxa"/>
            <w:tcBorders>
              <w:top w:val="single" w:sz="4" w:space="0" w:color="auto"/>
            </w:tcBorders>
            <w:shd w:val="clear" w:color="auto" w:fill="auto"/>
          </w:tcPr>
          <w:p w14:paraId="7E04127D" w14:textId="77777777" w:rsidR="0029266C" w:rsidRPr="004C174D" w:rsidRDefault="0029266C" w:rsidP="00766548">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4C174D">
              <w:rPr>
                <w:rFonts w:cstheme="minorHAnsi"/>
                <w:b w:val="0"/>
                <w:bCs w:val="0"/>
              </w:rPr>
              <w:t>Resultado</w:t>
            </w:r>
          </w:p>
        </w:tc>
      </w:tr>
      <w:tr w:rsidR="0011712A" w:rsidRPr="004C174D" w14:paraId="52E60FDF" w14:textId="77777777" w:rsidTr="23F3F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shd w:val="clear" w:color="auto" w:fill="auto"/>
          </w:tcPr>
          <w:p w14:paraId="0D5C3907" w14:textId="10BB6AC2" w:rsidR="0029266C" w:rsidRPr="00EB717B" w:rsidRDefault="0029266C" w:rsidP="00766548">
            <w:pPr>
              <w:spacing w:before="100" w:beforeAutospacing="1" w:after="100" w:afterAutospacing="1"/>
              <w:jc w:val="both"/>
              <w:rPr>
                <w:b w:val="0"/>
                <w:bCs w:val="0"/>
              </w:rPr>
            </w:pPr>
            <w:r w:rsidRPr="00EB717B">
              <w:fldChar w:fldCharType="begin" w:fldLock="1"/>
            </w:r>
            <w:r w:rsidRPr="00EB717B">
              <w:rPr>
                <w:b w:val="0"/>
                <w:bCs w:val="0"/>
              </w:rPr>
              <w:instrText>ADDIN CSL_CITATION {"citationItems":[{"id":"ITEM-1","itemData":{"DOI":"10.1006/cpac.1994.1003","ISBN":"1045-2354","ISSN":"10959955","abstract":"During the past few years, some of the most challenging work on the history and sociology of accounting has been inspired by the work of Michel Foucault. Following a recent intervention by Neimark (1990), this paper attempts an appraisal of the achievements and potential of this body of work. The paper argues that the application to accounting of Foucault's concept of disciplinary power has been misleading in important respects. in Foucault's portrayal, disciplinary regimes involves a continuous and comprehensive surveillance of individual conduct. In contrast, a key feature of accounting systems is that they shift emphasis away from behavioural details and onto economic outcomes. Foucault also depicts disciplinary regimes as operating primarily through a discursive constitution of the subject. Besides making it difficult to see how the constituted individual can ever resist accounting controls, this involves the dubious assumption that the disciplinary effect of accounting information is independent of physical and material sanctions. In Foucault's work, the concept of disciplinary power was intended to encapsulate the characteristic exercise of power in modernity. The use of such a high-level concept in accounting research naturally tends to suppress detail. In consequence, the approach offers little purchase on such everyday phenomena as change accounting systems, the relationships between accounting and other means of managerial control and the differences between accounting systems in different contexts. A second generation of Foucauldian research has drawn its inspiration from his studies of governmentality rather than of disciplinary regimes. In this approach, accounting is seen as a form of action at a distance and attention is focused on the processes of translation whereby the discursive conditions of possibility of particular uses of accounting come into being. This is a theoretical advance in that an account is offered of the diffusion and change of accounting technique. On the other hand, there are theoretical difficulties involved in attempting to specify the discursive conditions of forms of accounting control. On the methodological front, both Foucauldian genealogy and its extension via the sociology of translation pose questions of validity which have received little attention in their accounting application. Both appear to call for much the same kind of evidence as the methods of traditional history. The paper suggests some possible li…","author":[{"dropping-particle":"","family":"Armstrong","given":"Peter","non-dropping-particle":"","parse-names":false,"suffix":""}],"container-title":"Critical Perspectives on Accounting","id":"ITEM-1","issue":"1","issued":{"date-parts":[["1994"]]},"page":"25-55","title":"The Influence of Michel Foucault on Accounting Research","type":"article-journal","volume":"5"},"uris":["http://www.mendeley.com/documents/?uuid=14e4e9c2-ad17-316f-8470-1b424d23d503"]}],"mendeley":{"formattedCitation":"(Armstrong, 1994)","plainTextFormattedCitation":"(Armstrong, 1994)","previouslyFormattedCitation":"(Armstrong, 1994)"},"properties":{"noteIndex":0},"schema":"https://github.com/citation-style-language/schema/raw/master/csl-citation.json"}</w:instrText>
            </w:r>
            <w:r w:rsidRPr="00EB717B">
              <w:fldChar w:fldCharType="separate"/>
            </w:r>
            <w:r w:rsidRPr="00EB717B">
              <w:rPr>
                <w:b w:val="0"/>
                <w:bCs w:val="0"/>
                <w:noProof/>
              </w:rPr>
              <w:t>(Armstrong, 1994)</w:t>
            </w:r>
            <w:r w:rsidRPr="00EB717B">
              <w:fldChar w:fldCharType="end"/>
            </w:r>
          </w:p>
        </w:tc>
        <w:tc>
          <w:tcPr>
            <w:tcW w:w="1425" w:type="dxa"/>
            <w:shd w:val="clear" w:color="auto" w:fill="auto"/>
          </w:tcPr>
          <w:p w14:paraId="26047A1E"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No</w:t>
            </w:r>
          </w:p>
        </w:tc>
        <w:tc>
          <w:tcPr>
            <w:tcW w:w="1184" w:type="dxa"/>
            <w:shd w:val="clear" w:color="auto" w:fill="auto"/>
          </w:tcPr>
          <w:p w14:paraId="14CD89B2"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No</w:t>
            </w:r>
          </w:p>
        </w:tc>
        <w:tc>
          <w:tcPr>
            <w:tcW w:w="1232" w:type="dxa"/>
            <w:shd w:val="clear" w:color="auto" w:fill="auto"/>
          </w:tcPr>
          <w:p w14:paraId="2C283F5E"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No</w:t>
            </w:r>
          </w:p>
        </w:tc>
        <w:tc>
          <w:tcPr>
            <w:tcW w:w="1298" w:type="dxa"/>
            <w:shd w:val="clear" w:color="auto" w:fill="auto"/>
          </w:tcPr>
          <w:p w14:paraId="1F13BA7D"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Sí</w:t>
            </w:r>
          </w:p>
        </w:tc>
      </w:tr>
      <w:tr w:rsidR="51DAB02B" w14:paraId="2D93B4C9" w14:textId="77777777" w:rsidTr="23F3FC12">
        <w:trPr>
          <w:jc w:val="center"/>
        </w:trPr>
        <w:tc>
          <w:tcPr>
            <w:cnfStyle w:val="001000000000" w:firstRow="0" w:lastRow="0" w:firstColumn="1" w:lastColumn="0" w:oddVBand="0" w:evenVBand="0" w:oddHBand="0" w:evenHBand="0" w:firstRowFirstColumn="0" w:firstRowLastColumn="0" w:lastRowFirstColumn="0" w:lastRowLastColumn="0"/>
            <w:tcW w:w="3645" w:type="dxa"/>
            <w:shd w:val="clear" w:color="auto" w:fill="auto"/>
          </w:tcPr>
          <w:p w14:paraId="58C5A542" w14:textId="2BCC7700" w:rsidR="51DAB02B" w:rsidRPr="00C74FEE" w:rsidRDefault="51DAB02B" w:rsidP="00C74FEE">
            <w:pPr>
              <w:rPr>
                <w:rFonts w:eastAsiaTheme="minorEastAsia"/>
                <w:b w:val="0"/>
                <w:bCs w:val="0"/>
              </w:rPr>
            </w:pPr>
            <w:r w:rsidRPr="00C74FEE">
              <w:rPr>
                <w:b w:val="0"/>
                <w:bCs w:val="0"/>
              </w:rPr>
              <w:t>(Macintosh, 2002)</w:t>
            </w:r>
          </w:p>
        </w:tc>
        <w:tc>
          <w:tcPr>
            <w:tcW w:w="1425" w:type="dxa"/>
            <w:shd w:val="clear" w:color="auto" w:fill="auto"/>
          </w:tcPr>
          <w:p w14:paraId="0B78F23C" w14:textId="2DCB482A" w:rsidR="51DAB02B" w:rsidRDefault="541E2953" w:rsidP="51DAB02B">
            <w:pPr>
              <w:jc w:val="both"/>
              <w:cnfStyle w:val="000000000000" w:firstRow="0" w:lastRow="0" w:firstColumn="0" w:lastColumn="0" w:oddVBand="0" w:evenVBand="0" w:oddHBand="0" w:evenHBand="0" w:firstRowFirstColumn="0" w:firstRowLastColumn="0" w:lastRowFirstColumn="0" w:lastRowLastColumn="0"/>
            </w:pPr>
            <w:r w:rsidRPr="541E2953">
              <w:t>No</w:t>
            </w:r>
          </w:p>
        </w:tc>
        <w:tc>
          <w:tcPr>
            <w:tcW w:w="1184" w:type="dxa"/>
            <w:shd w:val="clear" w:color="auto" w:fill="auto"/>
          </w:tcPr>
          <w:p w14:paraId="3CBA3083" w14:textId="79503F74" w:rsidR="51DAB02B" w:rsidRDefault="3F84A009" w:rsidP="51DAB02B">
            <w:pPr>
              <w:jc w:val="both"/>
              <w:cnfStyle w:val="000000000000" w:firstRow="0" w:lastRow="0" w:firstColumn="0" w:lastColumn="0" w:oddVBand="0" w:evenVBand="0" w:oddHBand="0" w:evenHBand="0" w:firstRowFirstColumn="0" w:firstRowLastColumn="0" w:lastRowFirstColumn="0" w:lastRowLastColumn="0"/>
            </w:pPr>
            <w:r>
              <w:t>No</w:t>
            </w:r>
          </w:p>
        </w:tc>
        <w:tc>
          <w:tcPr>
            <w:tcW w:w="1232" w:type="dxa"/>
            <w:shd w:val="clear" w:color="auto" w:fill="auto"/>
          </w:tcPr>
          <w:p w14:paraId="09DEA98A" w14:textId="0FDFAE16" w:rsidR="51DAB02B" w:rsidRDefault="03801067" w:rsidP="51DAB02B">
            <w:pPr>
              <w:jc w:val="both"/>
              <w:cnfStyle w:val="000000000000" w:firstRow="0" w:lastRow="0" w:firstColumn="0" w:lastColumn="0" w:oddVBand="0" w:evenVBand="0" w:oddHBand="0" w:evenHBand="0" w:firstRowFirstColumn="0" w:firstRowLastColumn="0" w:lastRowFirstColumn="0" w:lastRowLastColumn="0"/>
            </w:pPr>
            <w:r>
              <w:t>No</w:t>
            </w:r>
          </w:p>
        </w:tc>
        <w:tc>
          <w:tcPr>
            <w:tcW w:w="1298" w:type="dxa"/>
            <w:shd w:val="clear" w:color="auto" w:fill="auto"/>
          </w:tcPr>
          <w:p w14:paraId="3926CB6C" w14:textId="2A7905CA" w:rsidR="51DAB02B" w:rsidRDefault="76B953FA" w:rsidP="51DAB02B">
            <w:pPr>
              <w:jc w:val="both"/>
              <w:cnfStyle w:val="000000000000" w:firstRow="0" w:lastRow="0" w:firstColumn="0" w:lastColumn="0" w:oddVBand="0" w:evenVBand="0" w:oddHBand="0" w:evenHBand="0" w:firstRowFirstColumn="0" w:firstRowLastColumn="0" w:lastRowFirstColumn="0" w:lastRowLastColumn="0"/>
            </w:pPr>
            <w:r>
              <w:t>Sí</w:t>
            </w:r>
          </w:p>
        </w:tc>
      </w:tr>
      <w:tr w:rsidR="007C5537" w:rsidRPr="004C174D" w14:paraId="743F9753" w14:textId="77777777" w:rsidTr="23F3F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shd w:val="clear" w:color="auto" w:fill="auto"/>
          </w:tcPr>
          <w:p w14:paraId="6AD45B5F" w14:textId="06FF1BC8" w:rsidR="007C5537" w:rsidRPr="00EB717B" w:rsidRDefault="007C5537" w:rsidP="00766548">
            <w:pPr>
              <w:spacing w:before="100" w:beforeAutospacing="1" w:after="100" w:afterAutospacing="1"/>
              <w:jc w:val="both"/>
              <w:rPr>
                <w:b w:val="0"/>
                <w:bCs w:val="0"/>
              </w:rPr>
            </w:pPr>
            <w:r w:rsidRPr="00EB717B">
              <w:rPr>
                <w:b w:val="0"/>
                <w:bCs w:val="0"/>
              </w:rPr>
              <w:t>(Gendron y Baker, 2005)</w:t>
            </w:r>
          </w:p>
        </w:tc>
        <w:tc>
          <w:tcPr>
            <w:tcW w:w="1425" w:type="dxa"/>
            <w:shd w:val="clear" w:color="auto" w:fill="auto"/>
          </w:tcPr>
          <w:p w14:paraId="6FC24199" w14:textId="23F6E89A" w:rsidR="007C5537" w:rsidRPr="004C174D" w:rsidRDefault="3A2F87A2"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3A2F87A2">
              <w:t>No</w:t>
            </w:r>
          </w:p>
        </w:tc>
        <w:tc>
          <w:tcPr>
            <w:tcW w:w="1184" w:type="dxa"/>
            <w:shd w:val="clear" w:color="auto" w:fill="auto"/>
          </w:tcPr>
          <w:p w14:paraId="0A5B6E9D" w14:textId="7132433A" w:rsidR="007C5537" w:rsidRPr="004C174D" w:rsidRDefault="007C5537"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c>
          <w:tcPr>
            <w:tcW w:w="1232" w:type="dxa"/>
            <w:shd w:val="clear" w:color="auto" w:fill="auto"/>
          </w:tcPr>
          <w:p w14:paraId="70AF4364" w14:textId="6AE07E97" w:rsidR="007C5537" w:rsidRPr="004C174D" w:rsidRDefault="007C5537"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c>
          <w:tcPr>
            <w:tcW w:w="1298" w:type="dxa"/>
            <w:shd w:val="clear" w:color="auto" w:fill="auto"/>
          </w:tcPr>
          <w:p w14:paraId="0EB942AD" w14:textId="24D3D261" w:rsidR="007C5537" w:rsidRPr="004C174D" w:rsidRDefault="007C5537"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Sí</w:t>
            </w:r>
          </w:p>
        </w:tc>
      </w:tr>
      <w:tr w:rsidR="7F54DF82" w14:paraId="2E479DF3" w14:textId="77777777" w:rsidTr="23F3FC12">
        <w:trPr>
          <w:jc w:val="center"/>
        </w:trPr>
        <w:tc>
          <w:tcPr>
            <w:cnfStyle w:val="001000000000" w:firstRow="0" w:lastRow="0" w:firstColumn="1" w:lastColumn="0" w:oddVBand="0" w:evenVBand="0" w:oddHBand="0" w:evenHBand="0" w:firstRowFirstColumn="0" w:firstRowLastColumn="0" w:lastRowFirstColumn="0" w:lastRowLastColumn="0"/>
            <w:tcW w:w="3645" w:type="dxa"/>
            <w:shd w:val="clear" w:color="auto" w:fill="auto"/>
          </w:tcPr>
          <w:p w14:paraId="08DEC2A4" w14:textId="1926AF52" w:rsidR="7F54DF82" w:rsidRDefault="505FC2DC" w:rsidP="7F54DF82">
            <w:pPr>
              <w:jc w:val="both"/>
              <w:rPr>
                <w:b w:val="0"/>
                <w:bCs w:val="0"/>
              </w:rPr>
            </w:pPr>
            <w:r>
              <w:rPr>
                <w:b w:val="0"/>
                <w:bCs w:val="0"/>
              </w:rPr>
              <w:t>(</w:t>
            </w:r>
            <w:proofErr w:type="spellStart"/>
            <w:r w:rsidR="30344496">
              <w:rPr>
                <w:b w:val="0"/>
                <w:bCs w:val="0"/>
              </w:rPr>
              <w:t>McKinlay</w:t>
            </w:r>
            <w:proofErr w:type="spellEnd"/>
            <w:r>
              <w:rPr>
                <w:b w:val="0"/>
                <w:bCs w:val="0"/>
              </w:rPr>
              <w:t xml:space="preserve"> y</w:t>
            </w:r>
            <w:r w:rsidR="30344496">
              <w:rPr>
                <w:b w:val="0"/>
                <w:bCs w:val="0"/>
              </w:rPr>
              <w:t xml:space="preserve"> Pezet, 2010</w:t>
            </w:r>
            <w:r w:rsidR="659A9BF9">
              <w:rPr>
                <w:b w:val="0"/>
                <w:bCs w:val="0"/>
              </w:rPr>
              <w:t>)</w:t>
            </w:r>
          </w:p>
        </w:tc>
        <w:tc>
          <w:tcPr>
            <w:tcW w:w="1425" w:type="dxa"/>
            <w:shd w:val="clear" w:color="auto" w:fill="auto"/>
          </w:tcPr>
          <w:p w14:paraId="5B0395A0" w14:textId="7C81861E" w:rsidR="7F54DF82" w:rsidRDefault="2D2A05FD" w:rsidP="7F54DF82">
            <w:pPr>
              <w:jc w:val="both"/>
              <w:cnfStyle w:val="000000000000" w:firstRow="0" w:lastRow="0" w:firstColumn="0" w:lastColumn="0" w:oddVBand="0" w:evenVBand="0" w:oddHBand="0" w:evenHBand="0" w:firstRowFirstColumn="0" w:firstRowLastColumn="0" w:lastRowFirstColumn="0" w:lastRowLastColumn="0"/>
            </w:pPr>
            <w:r>
              <w:t>No</w:t>
            </w:r>
          </w:p>
        </w:tc>
        <w:tc>
          <w:tcPr>
            <w:tcW w:w="1184" w:type="dxa"/>
            <w:shd w:val="clear" w:color="auto" w:fill="auto"/>
          </w:tcPr>
          <w:p w14:paraId="074A8290" w14:textId="1BF69E5E" w:rsidR="7F54DF82" w:rsidRDefault="2D2A05FD" w:rsidP="7F54DF82">
            <w:pPr>
              <w:jc w:val="both"/>
              <w:cnfStyle w:val="000000000000" w:firstRow="0" w:lastRow="0" w:firstColumn="0" w:lastColumn="0" w:oddVBand="0" w:evenVBand="0" w:oddHBand="0" w:evenHBand="0" w:firstRowFirstColumn="0" w:firstRowLastColumn="0" w:lastRowFirstColumn="0" w:lastRowLastColumn="0"/>
            </w:pPr>
            <w:r>
              <w:t>No</w:t>
            </w:r>
          </w:p>
        </w:tc>
        <w:tc>
          <w:tcPr>
            <w:tcW w:w="1232" w:type="dxa"/>
            <w:shd w:val="clear" w:color="auto" w:fill="auto"/>
          </w:tcPr>
          <w:p w14:paraId="7F9416E1" w14:textId="2515EB61" w:rsidR="7F54DF82" w:rsidRDefault="4AE47621" w:rsidP="7F54DF82">
            <w:pPr>
              <w:jc w:val="both"/>
              <w:cnfStyle w:val="000000000000" w:firstRow="0" w:lastRow="0" w:firstColumn="0" w:lastColumn="0" w:oddVBand="0" w:evenVBand="0" w:oddHBand="0" w:evenHBand="0" w:firstRowFirstColumn="0" w:firstRowLastColumn="0" w:lastRowFirstColumn="0" w:lastRowLastColumn="0"/>
            </w:pPr>
            <w:r>
              <w:t>No</w:t>
            </w:r>
          </w:p>
        </w:tc>
        <w:tc>
          <w:tcPr>
            <w:tcW w:w="1298" w:type="dxa"/>
            <w:shd w:val="clear" w:color="auto" w:fill="auto"/>
          </w:tcPr>
          <w:p w14:paraId="709CA17C" w14:textId="1D037855" w:rsidR="7F54DF82" w:rsidRDefault="4AE47621" w:rsidP="7F54DF82">
            <w:pPr>
              <w:jc w:val="both"/>
              <w:cnfStyle w:val="000000000000" w:firstRow="0" w:lastRow="0" w:firstColumn="0" w:lastColumn="0" w:oddVBand="0" w:evenVBand="0" w:oddHBand="0" w:evenHBand="0" w:firstRowFirstColumn="0" w:firstRowLastColumn="0" w:lastRowFirstColumn="0" w:lastRowLastColumn="0"/>
            </w:pPr>
            <w:r>
              <w:t>Sí</w:t>
            </w:r>
          </w:p>
        </w:tc>
      </w:tr>
      <w:tr w:rsidR="0011712A" w:rsidRPr="004C174D" w14:paraId="2726AD4F" w14:textId="77777777" w:rsidTr="23F3F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shd w:val="clear" w:color="auto" w:fill="auto"/>
          </w:tcPr>
          <w:p w14:paraId="5EFBBC45" w14:textId="681C7DFC" w:rsidR="0029266C" w:rsidRPr="00EB717B" w:rsidRDefault="0029266C" w:rsidP="00766548">
            <w:pPr>
              <w:spacing w:before="100" w:beforeAutospacing="1" w:after="100" w:afterAutospacing="1"/>
              <w:jc w:val="both"/>
              <w:rPr>
                <w:b w:val="0"/>
                <w:bCs w:val="0"/>
              </w:rPr>
            </w:pPr>
            <w:r w:rsidRPr="00EB717B">
              <w:fldChar w:fldCharType="begin" w:fldLock="1"/>
            </w:r>
            <w:r w:rsidRPr="00EB717B">
              <w:rPr>
                <w:b w:val="0"/>
                <w:bCs w:val="0"/>
              </w:rPr>
              <w:instrText>ADDIN CSL_CITATION {"citationItems":[{"id":"ITEM-1","itemData":{"DOI":"10.1504/IJCA.2012.051466","ISSN":"1757-9848","abstract":"The aim of this work is to build a map of Foucault’s approach. To achieve this objective, this work is focused on a broad revision and analysis of accounting and various publications. This work also includes a research on Foucault’s work so as to identify and compare the various manifestations of power relationships considered by different researchers. Once these manifestations of power as discourse, discipline, ethics, government, among others, have been identified, the specific influence of each one over accounting and management is determined as an attempt to provide a general view of this critical Foucauldian perspective over the study of organisations.","author":[{"dropping-particle":"","family":"Rivera","given":"Eduardo","non-dropping-particle":"","parse-names":false,"suffix":""}],"container-title":"International Journal of Critical Accounting","id":"ITEM-1","issue":"5/6","issued":{"date-parts":[["2012","12","10"]]},"page":"728","title":"Foucault: His influence over accounting and management research. Building of a map of Foucault's approach","type":"article-journal","volume":"4"},"uris":["http://www.mendeley.com/documents/?uuid=78e4ca22-b7a6-4807-9b0f-b1bd72582de6"]}],"mendeley":{"formattedCitation":"(Rivera, 2012)","plainTextFormattedCitation":"(Rivera, 2012)","previouslyFormattedCitation":"(Rivera, 2012)"},"properties":{"noteIndex":0},"schema":"https://github.com/citation-style-language/schema/raw/master/csl-citation.json"}</w:instrText>
            </w:r>
            <w:r w:rsidRPr="00EB717B">
              <w:fldChar w:fldCharType="separate"/>
            </w:r>
            <w:r w:rsidRPr="00EB717B">
              <w:rPr>
                <w:b w:val="0"/>
                <w:bCs w:val="0"/>
                <w:noProof/>
              </w:rPr>
              <w:t>(Rivera, 2012)</w:t>
            </w:r>
            <w:r w:rsidRPr="00EB717B">
              <w:fldChar w:fldCharType="end"/>
            </w:r>
          </w:p>
        </w:tc>
        <w:tc>
          <w:tcPr>
            <w:tcW w:w="1425" w:type="dxa"/>
            <w:shd w:val="clear" w:color="auto" w:fill="auto"/>
          </w:tcPr>
          <w:p w14:paraId="7A72903C"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SÍ</w:t>
            </w:r>
          </w:p>
        </w:tc>
        <w:tc>
          <w:tcPr>
            <w:tcW w:w="1184" w:type="dxa"/>
            <w:shd w:val="clear" w:color="auto" w:fill="auto"/>
          </w:tcPr>
          <w:p w14:paraId="18144097"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Sí</w:t>
            </w:r>
          </w:p>
        </w:tc>
        <w:tc>
          <w:tcPr>
            <w:tcW w:w="1232" w:type="dxa"/>
            <w:shd w:val="clear" w:color="auto" w:fill="auto"/>
          </w:tcPr>
          <w:p w14:paraId="5BFE9ED2"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Sí</w:t>
            </w:r>
          </w:p>
        </w:tc>
        <w:tc>
          <w:tcPr>
            <w:tcW w:w="1298" w:type="dxa"/>
            <w:shd w:val="clear" w:color="auto" w:fill="auto"/>
          </w:tcPr>
          <w:p w14:paraId="521FC072"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Sí</w:t>
            </w:r>
          </w:p>
        </w:tc>
      </w:tr>
      <w:tr w:rsidR="0011712A" w:rsidRPr="004C174D" w14:paraId="2238253B" w14:textId="77777777" w:rsidTr="23F3FC12">
        <w:trPr>
          <w:jc w:val="center"/>
        </w:trPr>
        <w:tc>
          <w:tcPr>
            <w:cnfStyle w:val="001000000000" w:firstRow="0" w:lastRow="0" w:firstColumn="1" w:lastColumn="0" w:oddVBand="0" w:evenVBand="0" w:oddHBand="0" w:evenHBand="0" w:firstRowFirstColumn="0" w:firstRowLastColumn="0" w:lastRowFirstColumn="0" w:lastRowLastColumn="0"/>
            <w:tcW w:w="3645" w:type="dxa"/>
            <w:shd w:val="clear" w:color="auto" w:fill="auto"/>
          </w:tcPr>
          <w:p w14:paraId="11D365A7" w14:textId="396AA98E" w:rsidR="0029266C" w:rsidRPr="00EB717B" w:rsidRDefault="0029266C" w:rsidP="00766548">
            <w:pPr>
              <w:spacing w:before="100" w:beforeAutospacing="1" w:after="100" w:afterAutospacing="1"/>
              <w:jc w:val="both"/>
              <w:rPr>
                <w:rFonts w:cstheme="minorHAnsi"/>
                <w:b w:val="0"/>
                <w:bCs w:val="0"/>
              </w:rPr>
            </w:pPr>
            <w:r w:rsidRPr="00EB717B">
              <w:rPr>
                <w:rFonts w:cstheme="minorHAnsi"/>
              </w:rPr>
              <w:fldChar w:fldCharType="begin" w:fldLock="1"/>
            </w:r>
            <w:r w:rsidR="00020853" w:rsidRPr="00EB717B">
              <w:rPr>
                <w:rFonts w:cstheme="minorHAnsi"/>
                <w:b w:val="0"/>
                <w:bCs w:val="0"/>
              </w:rPr>
              <w:instrText>ADDIN CSL_CITATION {"citationItems":[{"id":"ITEM-1","itemData":{"DOI":"10.11144/Javeriana.cc19-47.pefc","ISSN":"2500-6045","abstract":"En este documento se presenta un panorama del efecto Foucault en contabilidad y gestión pública, con el fin de evidenciar temáticas, autores y vacíos de investigación desde los estudios en gubernamentalidad. La unidad de análisis fueron setenta textos seleccionados en una revisión sistemática de artículos publicados entre 2012 y 2016, en cinco de las principales revistas internacionales relacionadas con las disciplinas analizadas. Para la recolección de los datos y la codificación de la información se utilizó una matriz de Excel y el software de investigación cualitativa Atlas.ti, versión 7.5.16. La comprensión de la información se complementó con un método de análisis de frecuencia y un análisis de red. Dentro de los resultados se destacan cuatro ejes temáticos: la gestión calculada, el gobierno a distancia, la modernización del gobierno y la contabilidad de la ciudad. Además, los cinco autores que más han publicado en el tema: Dean Neu, Cameron Graham, Eric Pezet, Ingrid Jeacle y Peter Miller, así como las redes de cooperación entre países, dentro de los cuales se evidencia a Reino Unido y Canadá. También se identifica que el principal reto de investigación está en entender la contabilidad de las ciudades de las llamadas economías emergentes. Así, este artículo hace contribuciones importantes para la contaduría y la administración, en especial, se establecen herramientas teóricas para que los investigadores estudien la contabilidad y su incidencia en la gestión de las ciudades, desde la perspectiva de la gubernamentalidad, en aras de avanzar en este tópico que requiere de discusión en Latinoamérica para repensar las incidencias del cálculo contable y la gestión del ciudadano.","author":[{"dropping-particle":"","family":"Ocampo","given":"Carmen Alejandra","non-dropping-particle":"","parse-names":false,"suffix":""}],"container-title":"Cuadernos de Contabilidad","id":"ITEM-1","issue":"47","issued":{"date-parts":[["2018","12","5"]]},"page":"60-79","title":"Un panorama del efecto Foucault en contabilidad y gestión pública temáticas, autores y retos de investigación desde la gubernamentalidad","type":"article-journal","volume":"19"},"uris":["http://www.mendeley.com/documents/?uuid=f0ed2016-8056-33c9-8ffc-e8440bb6727d"]}],"mendeley":{"formattedCitation":"(Ocampo, 2018)","manualFormatting":"(Ocampo, 2018)","plainTextFormattedCitation":"(Ocampo, 2018)","previouslyFormattedCitation":"(Ocampo, 2018)"},"properties":{"noteIndex":0},"schema":"https://github.com/citation-style-language/schema/raw/master/csl-citation.json"}</w:instrText>
            </w:r>
            <w:r w:rsidRPr="00EB717B">
              <w:rPr>
                <w:rFonts w:cstheme="minorHAnsi"/>
              </w:rPr>
              <w:fldChar w:fldCharType="separate"/>
            </w:r>
            <w:r w:rsidRPr="00EB717B">
              <w:rPr>
                <w:rFonts w:cstheme="minorHAnsi"/>
                <w:b w:val="0"/>
                <w:bCs w:val="0"/>
                <w:noProof/>
              </w:rPr>
              <w:t>(Ocampo, 2018)</w:t>
            </w:r>
            <w:r w:rsidRPr="00EB717B">
              <w:rPr>
                <w:rFonts w:cstheme="minorHAnsi"/>
              </w:rPr>
              <w:fldChar w:fldCharType="end"/>
            </w:r>
          </w:p>
        </w:tc>
        <w:tc>
          <w:tcPr>
            <w:tcW w:w="1425" w:type="dxa"/>
            <w:shd w:val="clear" w:color="auto" w:fill="auto"/>
          </w:tcPr>
          <w:p w14:paraId="75EF62C0" w14:textId="77777777" w:rsidR="0029266C" w:rsidRPr="004C174D" w:rsidRDefault="0029266C" w:rsidP="0076654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rPr>
            </w:pPr>
            <w:r w:rsidRPr="004C174D">
              <w:rPr>
                <w:rFonts w:cstheme="minorHAnsi"/>
              </w:rPr>
              <w:t>Sí</w:t>
            </w:r>
          </w:p>
        </w:tc>
        <w:tc>
          <w:tcPr>
            <w:tcW w:w="1184" w:type="dxa"/>
            <w:shd w:val="clear" w:color="auto" w:fill="auto"/>
          </w:tcPr>
          <w:p w14:paraId="7BAC4A98" w14:textId="77777777" w:rsidR="0029266C" w:rsidRPr="004C174D" w:rsidRDefault="0029266C" w:rsidP="0076654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rPr>
            </w:pPr>
            <w:r w:rsidRPr="004C174D">
              <w:rPr>
                <w:rFonts w:cstheme="minorHAnsi"/>
              </w:rPr>
              <w:t>Sí</w:t>
            </w:r>
          </w:p>
        </w:tc>
        <w:tc>
          <w:tcPr>
            <w:tcW w:w="1232" w:type="dxa"/>
            <w:shd w:val="clear" w:color="auto" w:fill="auto"/>
          </w:tcPr>
          <w:p w14:paraId="1BB6AA53" w14:textId="77777777" w:rsidR="0029266C" w:rsidRPr="004C174D" w:rsidRDefault="0029266C" w:rsidP="0076654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rPr>
            </w:pPr>
            <w:r w:rsidRPr="004C174D">
              <w:rPr>
                <w:rFonts w:cstheme="minorHAnsi"/>
              </w:rPr>
              <w:t>No</w:t>
            </w:r>
          </w:p>
        </w:tc>
        <w:tc>
          <w:tcPr>
            <w:tcW w:w="1298" w:type="dxa"/>
            <w:shd w:val="clear" w:color="auto" w:fill="auto"/>
          </w:tcPr>
          <w:p w14:paraId="49B0E46E" w14:textId="77777777" w:rsidR="0029266C" w:rsidRPr="004C174D" w:rsidRDefault="0029266C" w:rsidP="00766548">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cstheme="minorHAnsi"/>
              </w:rPr>
            </w:pPr>
            <w:r w:rsidRPr="004C174D">
              <w:rPr>
                <w:rFonts w:cstheme="minorHAnsi"/>
              </w:rPr>
              <w:t>Sí</w:t>
            </w:r>
          </w:p>
        </w:tc>
      </w:tr>
      <w:tr w:rsidR="00E33EE1" w:rsidRPr="004C174D" w14:paraId="563889C9" w14:textId="77777777" w:rsidTr="23F3FC1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45" w:type="dxa"/>
            <w:tcBorders>
              <w:bottom w:val="single" w:sz="4" w:space="0" w:color="auto"/>
            </w:tcBorders>
            <w:shd w:val="clear" w:color="auto" w:fill="auto"/>
          </w:tcPr>
          <w:p w14:paraId="5EF91708" w14:textId="74BB7C86" w:rsidR="0029266C" w:rsidRPr="00EB717B" w:rsidRDefault="0029266C" w:rsidP="00766548">
            <w:pPr>
              <w:spacing w:before="100" w:beforeAutospacing="1" w:after="100" w:afterAutospacing="1"/>
              <w:jc w:val="both"/>
              <w:rPr>
                <w:rFonts w:cstheme="minorHAnsi"/>
                <w:b w:val="0"/>
                <w:bCs w:val="0"/>
              </w:rPr>
            </w:pPr>
            <w:r w:rsidRPr="00EB717B">
              <w:rPr>
                <w:rFonts w:cstheme="minorHAnsi"/>
              </w:rPr>
              <w:fldChar w:fldCharType="begin" w:fldLock="1"/>
            </w:r>
            <w:r w:rsidR="0023715B">
              <w:rPr>
                <w:rFonts w:cstheme="minorHAnsi"/>
                <w:b w:val="0"/>
                <w:bCs w:val="0"/>
              </w:rPr>
              <w:instrText>ADDIN CSL_CITATION {"citationItems":[{"id":"ITEM-1","itemData":{"DOI":"10.4324/9781315775203-6","author":[{"dropping-particle":"","family":"Knights","given":"David","non-dropping-particle":"","parse-names":false,"suffix":""},{"dropping-particle":"","family":"Bloom","given":"Peter","non-dropping-particle":"","parse-names":false,"suffix":""}],"chapter-number":"6","container-title":"The Routledge Companion to Critical Accounting","editor":[{"dropping-particle":"","family":"Roslender","given":"Robin","non-dropping-particle":"","parse-names":false,"suffix":""}],"id":"ITEM-1","issued":{"date-parts":[["2017","9","11"]]},"page":"91-108","publisher":"Routledge","title":"Foucault","type":"chapter"},"uris":["http://www.mendeley.com/documents/?uuid=dc1d870e-7107-367a-8a31-6480f942d078"]}],"mendeley":{"formattedCitation":"(Knights y Bloom, 2017)","plainTextFormattedCitation":"(Knights y Bloom, 2017)","previouslyFormattedCitation":"(Knights y Bloom, 2017)"},"properties":{"noteIndex":0},"schema":"https://github.com/citation-style-language/schema/raw/master/csl-citation.json"}</w:instrText>
            </w:r>
            <w:r w:rsidRPr="00EB717B">
              <w:rPr>
                <w:rFonts w:cstheme="minorHAnsi"/>
              </w:rPr>
              <w:fldChar w:fldCharType="separate"/>
            </w:r>
            <w:r w:rsidR="0023715B" w:rsidRPr="0023715B">
              <w:rPr>
                <w:rFonts w:cstheme="minorHAnsi"/>
                <w:b w:val="0"/>
                <w:bCs w:val="0"/>
                <w:noProof/>
              </w:rPr>
              <w:t>(Knights y Bloom, 2017)</w:t>
            </w:r>
            <w:r w:rsidRPr="00EB717B">
              <w:rPr>
                <w:rFonts w:cstheme="minorHAnsi"/>
              </w:rPr>
              <w:fldChar w:fldCharType="end"/>
            </w:r>
          </w:p>
        </w:tc>
        <w:tc>
          <w:tcPr>
            <w:tcW w:w="1425" w:type="dxa"/>
            <w:tcBorders>
              <w:bottom w:val="single" w:sz="4" w:space="0" w:color="auto"/>
            </w:tcBorders>
            <w:shd w:val="clear" w:color="auto" w:fill="auto"/>
          </w:tcPr>
          <w:p w14:paraId="14F57C81"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No</w:t>
            </w:r>
          </w:p>
        </w:tc>
        <w:tc>
          <w:tcPr>
            <w:tcW w:w="1184" w:type="dxa"/>
            <w:tcBorders>
              <w:bottom w:val="single" w:sz="4" w:space="0" w:color="auto"/>
            </w:tcBorders>
            <w:shd w:val="clear" w:color="auto" w:fill="auto"/>
          </w:tcPr>
          <w:p w14:paraId="28B6183D"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No</w:t>
            </w:r>
          </w:p>
        </w:tc>
        <w:tc>
          <w:tcPr>
            <w:tcW w:w="1232" w:type="dxa"/>
            <w:tcBorders>
              <w:bottom w:val="single" w:sz="4" w:space="0" w:color="auto"/>
            </w:tcBorders>
            <w:shd w:val="clear" w:color="auto" w:fill="auto"/>
          </w:tcPr>
          <w:p w14:paraId="6CCC988D" w14:textId="77777777" w:rsidR="0029266C" w:rsidRPr="004C174D" w:rsidRDefault="0029266C" w:rsidP="00766548">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cstheme="minorHAnsi"/>
              </w:rPr>
            </w:pPr>
            <w:r w:rsidRPr="004C174D">
              <w:rPr>
                <w:rFonts w:cstheme="minorHAnsi"/>
              </w:rPr>
              <w:t>No</w:t>
            </w:r>
          </w:p>
        </w:tc>
        <w:tc>
          <w:tcPr>
            <w:tcW w:w="1298" w:type="dxa"/>
            <w:tcBorders>
              <w:bottom w:val="single" w:sz="4" w:space="0" w:color="auto"/>
            </w:tcBorders>
            <w:shd w:val="clear" w:color="auto" w:fill="auto"/>
          </w:tcPr>
          <w:p w14:paraId="64D4E3EB" w14:textId="7268E391" w:rsidR="0029266C" w:rsidRPr="004C174D" w:rsidRDefault="23F3FC12" w:rsidP="23F3FC1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pPr>
            <w:r w:rsidRPr="23F3FC12">
              <w:t>Sí</w:t>
            </w:r>
          </w:p>
        </w:tc>
      </w:tr>
    </w:tbl>
    <w:p w14:paraId="26AA8A23" w14:textId="1F9A317A" w:rsidR="00574626" w:rsidRDefault="1112C362" w:rsidP="00274123">
      <w:pPr>
        <w:rPr>
          <w:lang w:eastAsia="es-ES_tradnl"/>
        </w:rPr>
      </w:pPr>
      <w:r w:rsidRPr="1112C362">
        <w:rPr>
          <w:lang w:eastAsia="es-ES"/>
        </w:rPr>
        <w:t>Fuente: Elaboración propia</w:t>
      </w:r>
      <w:r w:rsidR="0014219C">
        <w:rPr>
          <w:lang w:eastAsia="es-ES"/>
        </w:rPr>
        <w:t>.</w:t>
      </w:r>
    </w:p>
    <w:p w14:paraId="6F5D0BB5" w14:textId="77777777" w:rsidR="00C829E5" w:rsidRDefault="1112C362" w:rsidP="1112C362">
      <w:pPr>
        <w:jc w:val="both"/>
        <w:rPr>
          <w:rFonts w:ascii="Calibri" w:eastAsia="Calibri" w:hAnsi="Calibri" w:cs="Calibri"/>
          <w:lang w:eastAsia="es-ES"/>
        </w:rPr>
      </w:pPr>
      <w:r w:rsidRPr="1112C362">
        <w:rPr>
          <w:rFonts w:ascii="Calibri" w:eastAsia="Calibri" w:hAnsi="Calibri" w:cs="Calibri"/>
          <w:lang w:eastAsia="es-ES"/>
        </w:rPr>
        <w:t xml:space="preserve">Gendron y Baker (2005) realizan una reconstrucción de los principales acontecimientos ocurridos entre 1960 y 1987, cuando los primeros artículos sobre </w:t>
      </w:r>
      <w:r w:rsidR="464DE2B0" w:rsidRPr="464DE2B0">
        <w:rPr>
          <w:rFonts w:ascii="Calibri" w:eastAsia="Calibri" w:hAnsi="Calibri" w:cs="Calibri"/>
          <w:lang w:eastAsia="es-ES"/>
        </w:rPr>
        <w:t xml:space="preserve">o desde </w:t>
      </w:r>
      <w:r w:rsidRPr="1112C362">
        <w:rPr>
          <w:rFonts w:ascii="Calibri" w:eastAsia="Calibri" w:hAnsi="Calibri" w:cs="Calibri"/>
          <w:lang w:eastAsia="es-ES"/>
        </w:rPr>
        <w:t xml:space="preserve">Foucault se publicaron en </w:t>
      </w:r>
      <w:r w:rsidRPr="1112C362">
        <w:rPr>
          <w:rFonts w:ascii="Calibri" w:eastAsia="Calibri" w:hAnsi="Calibri" w:cs="Calibri"/>
          <w:i/>
          <w:iCs/>
          <w:lang w:eastAsia="es-ES"/>
        </w:rPr>
        <w:t xml:space="preserve">Accounting </w:t>
      </w:r>
      <w:r w:rsidR="0086511C" w:rsidRPr="1112C362">
        <w:rPr>
          <w:rFonts w:ascii="Calibri" w:eastAsia="Calibri" w:hAnsi="Calibri" w:cs="Calibri"/>
          <w:i/>
          <w:iCs/>
          <w:lang w:eastAsia="es-ES"/>
        </w:rPr>
        <w:t>Organizations</w:t>
      </w:r>
      <w:r w:rsidRPr="1112C362">
        <w:rPr>
          <w:rFonts w:ascii="Calibri" w:eastAsia="Calibri" w:hAnsi="Calibri" w:cs="Calibri"/>
          <w:i/>
          <w:iCs/>
          <w:lang w:eastAsia="es-ES"/>
        </w:rPr>
        <w:t xml:space="preserve"> and Society (AOS). </w:t>
      </w:r>
      <w:r w:rsidRPr="1112C362">
        <w:rPr>
          <w:rFonts w:ascii="Calibri" w:eastAsia="Calibri" w:hAnsi="Calibri" w:cs="Calibri"/>
          <w:lang w:eastAsia="es-ES"/>
        </w:rPr>
        <w:t xml:space="preserve">Esa reconstrucción los lleva a identificar y caracterizar las redes de apoyo que se establecieron en torno a la utilización de las ideas foucaultianas en la investigación contable. Los resultados más relevantes de esta indagación indican que la primera referencia a Foucault en los artículos analizados aparece en 1980; así como que los investigadores británicos jugaron un papel clave en la importación de perspectivas foucaultianas en la disciplina contable. </w:t>
      </w:r>
    </w:p>
    <w:p w14:paraId="42BB6B0F" w14:textId="1B29EE43" w:rsidR="1112C362" w:rsidRDefault="23F3FC12" w:rsidP="23F3FC12">
      <w:pPr>
        <w:jc w:val="both"/>
        <w:rPr>
          <w:lang w:eastAsia="es-ES"/>
        </w:rPr>
      </w:pPr>
      <w:r w:rsidRPr="23F3FC12">
        <w:rPr>
          <w:rFonts w:ascii="Calibri" w:eastAsia="Calibri" w:hAnsi="Calibri" w:cs="Calibri"/>
          <w:lang w:eastAsia="es-ES"/>
        </w:rPr>
        <w:t>Respecto de las redes de apoyo, los autores señalan que la fundación de AOS articulo los</w:t>
      </w:r>
      <w:r w:rsidRPr="23F3FC12">
        <w:rPr>
          <w:lang w:eastAsia="es-ES"/>
        </w:rPr>
        <w:t xml:space="preserve"> círculos de investigación que estaban pensando la contabilidad desde otras perspectivas en Estados Unidos y Europa. En línea con </w:t>
      </w:r>
      <w:r w:rsidRPr="23F3FC12">
        <w:rPr>
          <w:rFonts w:ascii="Calibri" w:eastAsia="Calibri" w:hAnsi="Calibri" w:cs="Calibri"/>
          <w:lang w:eastAsia="es-ES"/>
        </w:rPr>
        <w:t xml:space="preserve">Gendron y Baker (2005) </w:t>
      </w:r>
      <w:r w:rsidRPr="23F3FC12">
        <w:rPr>
          <w:lang w:eastAsia="es-ES"/>
        </w:rPr>
        <w:t xml:space="preserve">Hopwood puso en discusión las ideas de Foucault y su relevancia para la investigación en contabilidad en el </w:t>
      </w:r>
      <w:r w:rsidRPr="23F3FC12">
        <w:rPr>
          <w:i/>
          <w:iCs/>
          <w:lang w:eastAsia="es-ES"/>
        </w:rPr>
        <w:t>Centro de Estudios de Gestión de Oxford</w:t>
      </w:r>
      <w:r w:rsidRPr="23F3FC12">
        <w:rPr>
          <w:lang w:eastAsia="es-ES"/>
        </w:rPr>
        <w:t xml:space="preserve">, donde estuvo empleado desde 1976 hasta el verano de 1978, y en la </w:t>
      </w:r>
      <w:r w:rsidRPr="23F3FC12">
        <w:rPr>
          <w:i/>
          <w:iCs/>
          <w:lang w:eastAsia="es-ES"/>
        </w:rPr>
        <w:t>London Business School</w:t>
      </w:r>
      <w:r w:rsidRPr="23F3FC12">
        <w:rPr>
          <w:lang w:eastAsia="es-ES"/>
        </w:rPr>
        <w:t xml:space="preserve"> (LBS). En estos espacios organizaba pequeños talleres en los que participaron: Paul </w:t>
      </w:r>
      <w:proofErr w:type="spellStart"/>
      <w:r w:rsidRPr="23F3FC12">
        <w:rPr>
          <w:lang w:eastAsia="es-ES"/>
        </w:rPr>
        <w:t>Bircher</w:t>
      </w:r>
      <w:proofErr w:type="spellEnd"/>
      <w:r w:rsidRPr="23F3FC12">
        <w:rPr>
          <w:lang w:eastAsia="es-ES"/>
        </w:rPr>
        <w:t xml:space="preserve">, Philip </w:t>
      </w:r>
      <w:proofErr w:type="spellStart"/>
      <w:r w:rsidRPr="23F3FC12">
        <w:rPr>
          <w:lang w:eastAsia="es-ES"/>
        </w:rPr>
        <w:t>Bougen</w:t>
      </w:r>
      <w:proofErr w:type="spellEnd"/>
      <w:r w:rsidRPr="23F3FC12">
        <w:rPr>
          <w:lang w:eastAsia="es-ES"/>
        </w:rPr>
        <w:t xml:space="preserve">, Stuart Burchell, David Cooper, Jeremy </w:t>
      </w:r>
      <w:proofErr w:type="spellStart"/>
      <w:r w:rsidRPr="23F3FC12">
        <w:rPr>
          <w:lang w:eastAsia="es-ES"/>
        </w:rPr>
        <w:t>Dent</w:t>
      </w:r>
      <w:proofErr w:type="spellEnd"/>
      <w:r w:rsidRPr="23F3FC12">
        <w:rPr>
          <w:lang w:eastAsia="es-ES"/>
        </w:rPr>
        <w:t xml:space="preserve">, Anthony Hopwood, Anne Loft, Brendan </w:t>
      </w:r>
      <w:proofErr w:type="spellStart"/>
      <w:r w:rsidRPr="23F3FC12">
        <w:rPr>
          <w:lang w:eastAsia="es-ES"/>
        </w:rPr>
        <w:t>McSweeney</w:t>
      </w:r>
      <w:proofErr w:type="spellEnd"/>
      <w:r w:rsidRPr="23F3FC12">
        <w:rPr>
          <w:lang w:eastAsia="es-ES"/>
        </w:rPr>
        <w:t xml:space="preserve">, Peter Miller, Ted O’Leary, </w:t>
      </w:r>
      <w:proofErr w:type="spellStart"/>
      <w:r w:rsidRPr="23F3FC12">
        <w:rPr>
          <w:lang w:eastAsia="es-ES"/>
        </w:rPr>
        <w:t>Alistair</w:t>
      </w:r>
      <w:proofErr w:type="spellEnd"/>
      <w:r w:rsidRPr="23F3FC12">
        <w:rPr>
          <w:lang w:eastAsia="es-ES"/>
        </w:rPr>
        <w:t xml:space="preserve"> Preston, John Roberts, Keith Robson y </w:t>
      </w:r>
      <w:proofErr w:type="spellStart"/>
      <w:r w:rsidRPr="23F3FC12">
        <w:rPr>
          <w:lang w:eastAsia="es-ES"/>
        </w:rPr>
        <w:t>Grahame</w:t>
      </w:r>
      <w:proofErr w:type="spellEnd"/>
      <w:r w:rsidRPr="23F3FC12">
        <w:rPr>
          <w:lang w:eastAsia="es-ES"/>
        </w:rPr>
        <w:t xml:space="preserve"> Thompson (Gendron y Baker, 2005). Algunas de estas personas serían quienes publicarían sus trabajos en los primeros números de AOS, principalmente a partir de lecturas de la </w:t>
      </w:r>
      <w:r w:rsidRPr="23F3FC12">
        <w:rPr>
          <w:i/>
          <w:iCs/>
          <w:lang w:eastAsia="es-ES"/>
        </w:rPr>
        <w:t>Arqueología del saber</w:t>
      </w:r>
      <w:r w:rsidRPr="23F3FC12">
        <w:rPr>
          <w:lang w:eastAsia="es-ES"/>
        </w:rPr>
        <w:t xml:space="preserve"> y </w:t>
      </w:r>
      <w:r w:rsidRPr="23F3FC12">
        <w:rPr>
          <w:i/>
          <w:iCs/>
          <w:lang w:eastAsia="es-ES"/>
        </w:rPr>
        <w:t>Vigilar y Castigar.</w:t>
      </w:r>
    </w:p>
    <w:p w14:paraId="57D98058" w14:textId="1072F26B" w:rsidR="1112C362" w:rsidRPr="003C7827" w:rsidRDefault="1112C362" w:rsidP="003C7827">
      <w:pPr>
        <w:spacing w:after="0"/>
        <w:jc w:val="both"/>
        <w:rPr>
          <w:i/>
          <w:iCs/>
          <w:lang w:eastAsia="es-ES"/>
        </w:rPr>
      </w:pPr>
      <w:r w:rsidRPr="003C7827">
        <w:rPr>
          <w:i/>
          <w:iCs/>
          <w:lang w:eastAsia="es-ES"/>
        </w:rPr>
        <w:t xml:space="preserve">Tabla </w:t>
      </w:r>
      <w:r w:rsidR="00D97915" w:rsidRPr="003C7827">
        <w:rPr>
          <w:i/>
          <w:iCs/>
          <w:lang w:eastAsia="es-ES"/>
        </w:rPr>
        <w:t>7</w:t>
      </w:r>
      <w:r w:rsidRPr="003C7827">
        <w:rPr>
          <w:i/>
          <w:iCs/>
          <w:lang w:eastAsia="es-ES"/>
        </w:rPr>
        <w:t>. Trabajos seminales en la perspectiva foucaultiana</w:t>
      </w:r>
      <w:r w:rsidR="007433D8">
        <w:rPr>
          <w:i/>
          <w:iCs/>
          <w:lang w:eastAsia="es-ES"/>
        </w:rPr>
        <w:t xml:space="preserve"> de la contabilidad</w:t>
      </w:r>
    </w:p>
    <w:tbl>
      <w:tblPr>
        <w:tblStyle w:val="Tabladelista2"/>
        <w:tblW w:w="0" w:type="auto"/>
        <w:jc w:val="center"/>
        <w:tblLook w:val="04A0" w:firstRow="1" w:lastRow="0" w:firstColumn="1" w:lastColumn="0" w:noHBand="0" w:noVBand="1"/>
      </w:tblPr>
      <w:tblGrid>
        <w:gridCol w:w="2127"/>
        <w:gridCol w:w="6916"/>
      </w:tblGrid>
      <w:tr w:rsidR="1112C362" w:rsidRPr="007B34F6" w14:paraId="4D2BA200" w14:textId="77777777" w:rsidTr="0001713E">
        <w:trPr>
          <w:cnfStyle w:val="100000000000" w:firstRow="1" w:lastRow="0" w:firstColumn="0" w:lastColumn="0" w:oddVBand="0" w:evenVBand="0" w:oddHBand="0"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FFFFFF" w:themeFill="background1"/>
          </w:tcPr>
          <w:p w14:paraId="52805898" w14:textId="773AA05E" w:rsidR="1112C362" w:rsidRPr="007B34F6" w:rsidRDefault="68675208" w:rsidP="68675208">
            <w:pPr>
              <w:spacing w:beforeAutospacing="1" w:afterAutospacing="1"/>
              <w:jc w:val="center"/>
              <w:rPr>
                <w:b w:val="0"/>
                <w:bCs w:val="0"/>
                <w:sz w:val="20"/>
                <w:szCs w:val="20"/>
              </w:rPr>
            </w:pPr>
            <w:r w:rsidRPr="68675208">
              <w:rPr>
                <w:b w:val="0"/>
                <w:bCs w:val="0"/>
                <w:sz w:val="20"/>
                <w:szCs w:val="20"/>
              </w:rPr>
              <w:t xml:space="preserve">Autores/as y año </w:t>
            </w:r>
          </w:p>
        </w:tc>
        <w:tc>
          <w:tcPr>
            <w:tcW w:w="6916" w:type="dxa"/>
            <w:shd w:val="clear" w:color="auto" w:fill="FFFFFF" w:themeFill="background1"/>
          </w:tcPr>
          <w:p w14:paraId="5E8F82D2" w14:textId="77777777" w:rsidR="1112C362" w:rsidRPr="007B34F6" w:rsidRDefault="68675208" w:rsidP="68675208">
            <w:pPr>
              <w:spacing w:beforeAutospacing="1"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68675208">
              <w:rPr>
                <w:b w:val="0"/>
                <w:bCs w:val="0"/>
                <w:sz w:val="20"/>
                <w:szCs w:val="20"/>
              </w:rPr>
              <w:t>Título RSL</w:t>
            </w:r>
          </w:p>
        </w:tc>
      </w:tr>
      <w:tr w:rsidR="1112C362" w:rsidRPr="000C3ED9" w14:paraId="4F016C32" w14:textId="77777777" w:rsidTr="0001713E">
        <w:trPr>
          <w:cnfStyle w:val="000000100000" w:firstRow="0" w:lastRow="0" w:firstColumn="0" w:lastColumn="0" w:oddVBand="0" w:evenVBand="0" w:oddHBand="1" w:evenHBand="0" w:firstRowFirstColumn="0" w:firstRowLastColumn="0" w:lastRowFirstColumn="0" w:lastRowLastColumn="0"/>
          <w:trHeight w:val="214"/>
          <w:jc w:val="center"/>
        </w:trPr>
        <w:tc>
          <w:tcPr>
            <w:cnfStyle w:val="001000000000" w:firstRow="0" w:lastRow="0" w:firstColumn="1" w:lastColumn="0" w:oddVBand="0" w:evenVBand="0" w:oddHBand="0" w:evenHBand="0" w:firstRowFirstColumn="0" w:firstRowLastColumn="0" w:lastRowFirstColumn="0" w:lastRowLastColumn="0"/>
            <w:tcW w:w="2127" w:type="dxa"/>
            <w:tcBorders>
              <w:bottom w:val="nil"/>
            </w:tcBorders>
            <w:shd w:val="clear" w:color="auto" w:fill="FFFFFF" w:themeFill="background1"/>
          </w:tcPr>
          <w:p w14:paraId="2F327819" w14:textId="4A62D7F9" w:rsidR="1112C362" w:rsidRPr="0001713E" w:rsidRDefault="007433D8" w:rsidP="1112C362">
            <w:pPr>
              <w:rPr>
                <w:b w:val="0"/>
                <w:bCs w:val="0"/>
                <w:sz w:val="18"/>
                <w:szCs w:val="18"/>
              </w:rPr>
            </w:pPr>
            <w:r w:rsidRPr="0001713E">
              <w:rPr>
                <w:sz w:val="18"/>
                <w:szCs w:val="18"/>
              </w:rPr>
              <w:fldChar w:fldCharType="begin" w:fldLock="1"/>
            </w:r>
            <w:r w:rsidR="0023715B">
              <w:rPr>
                <w:b w:val="0"/>
                <w:bCs w:val="0"/>
                <w:sz w:val="18"/>
                <w:szCs w:val="18"/>
              </w:rPr>
              <w:instrText>ADDIN CSL_CITATION {"citationItems":[{"id":"ITEM-1","itemData":{"author":[{"dropping-particle":"","family":"Miller","given":"Peter","non-dropping-particle":"","parse-names":false,"suffix":""},{"dropping-particle":"","family":"O'Leary","given":"Ted","non-dropping-particle":"","parse-names":false,"suffix":""}],"container-title":"Avances Interdisciplinarios para una Comprensión Crítica de la Contabilidad. Textos Paradigmáticos de las Corrientes Heterodoxas","id":"ITEM-1","issued":{"date-parts":[["2009"]]},"publisher":"Universidad de Antioquia y Universidad Nacional de Colombia","publisher-place":"Bogotá","title":"La contabilidad y la construcción de la persona gobernable.","type":"chapter"},"uris":["http://www.mendeley.com/documents/?uuid=707b3805-7ed0-402c-9bce-797438dac38f"]}],"mendeley":{"formattedCitation":"(Miller y O’Leary, 2009)","plainTextFormattedCitation":"(Miller y O’Leary, 2009)","previouslyFormattedCitation":"(Miller y O’Leary, 2009)"},"properties":{"noteIndex":0},"schema":"https://github.com/citation-style-language/schema/raw/master/csl-citation.json"}</w:instrText>
            </w:r>
            <w:r w:rsidRPr="0001713E">
              <w:rPr>
                <w:sz w:val="18"/>
                <w:szCs w:val="18"/>
              </w:rPr>
              <w:fldChar w:fldCharType="separate"/>
            </w:r>
            <w:r w:rsidR="0023715B" w:rsidRPr="0023715B">
              <w:rPr>
                <w:b w:val="0"/>
                <w:bCs w:val="0"/>
                <w:noProof/>
                <w:sz w:val="18"/>
                <w:szCs w:val="18"/>
              </w:rPr>
              <w:t>(Miller y O’Leary, 2009)</w:t>
            </w:r>
            <w:r w:rsidRPr="0001713E">
              <w:rPr>
                <w:sz w:val="18"/>
                <w:szCs w:val="18"/>
              </w:rPr>
              <w:fldChar w:fldCharType="end"/>
            </w:r>
          </w:p>
        </w:tc>
        <w:tc>
          <w:tcPr>
            <w:tcW w:w="6916" w:type="dxa"/>
            <w:tcBorders>
              <w:bottom w:val="nil"/>
            </w:tcBorders>
            <w:shd w:val="clear" w:color="auto" w:fill="FFFFFF" w:themeFill="background1"/>
          </w:tcPr>
          <w:p w14:paraId="3EFB2700" w14:textId="1A07E410" w:rsidR="1112C362" w:rsidRPr="0001713E" w:rsidRDefault="68675208" w:rsidP="68675208">
            <w:pPr>
              <w:jc w:val="both"/>
              <w:cnfStyle w:val="000000100000" w:firstRow="0" w:lastRow="0" w:firstColumn="0" w:lastColumn="0" w:oddVBand="0" w:evenVBand="0" w:oddHBand="1" w:evenHBand="0" w:firstRowFirstColumn="0" w:firstRowLastColumn="0" w:lastRowFirstColumn="0" w:lastRowLastColumn="0"/>
              <w:rPr>
                <w:i/>
                <w:iCs/>
                <w:sz w:val="17"/>
                <w:szCs w:val="17"/>
                <w:lang w:val="en-US" w:eastAsia="es-ES"/>
              </w:rPr>
            </w:pPr>
            <w:r w:rsidRPr="0001713E">
              <w:rPr>
                <w:i/>
                <w:iCs/>
                <w:sz w:val="17"/>
                <w:szCs w:val="17"/>
                <w:lang w:val="en-US" w:eastAsia="es-ES"/>
              </w:rPr>
              <w:t>Accounting and the construction of the governable person</w:t>
            </w:r>
          </w:p>
        </w:tc>
      </w:tr>
      <w:tr w:rsidR="1112C362" w:rsidRPr="000C3ED9" w14:paraId="3B05A231" w14:textId="77777777" w:rsidTr="0001713E">
        <w:trPr>
          <w:trHeight w:val="73"/>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auto" w:fill="FFFFFF" w:themeFill="background1"/>
          </w:tcPr>
          <w:p w14:paraId="1D63EE0F" w14:textId="243A04B1" w:rsidR="1112C362" w:rsidRPr="0001713E" w:rsidRDefault="007433D8" w:rsidP="1112C362">
            <w:pPr>
              <w:spacing w:beforeAutospacing="1" w:afterAutospacing="1"/>
              <w:jc w:val="both"/>
              <w:rPr>
                <w:b w:val="0"/>
                <w:bCs w:val="0"/>
                <w:sz w:val="18"/>
                <w:szCs w:val="18"/>
              </w:rPr>
            </w:pPr>
            <w:r w:rsidRPr="0001713E">
              <w:rPr>
                <w:sz w:val="18"/>
                <w:szCs w:val="18"/>
              </w:rPr>
              <w:fldChar w:fldCharType="begin" w:fldLock="1"/>
            </w:r>
            <w:r w:rsidRPr="0001713E">
              <w:rPr>
                <w:b w:val="0"/>
                <w:bCs w:val="0"/>
                <w:sz w:val="18"/>
                <w:szCs w:val="18"/>
              </w:rPr>
              <w:instrText>ADDIN CSL_CITATION {"citationItems":[{"id":"ITEM-1","itemData":{"ISBN":"9780367511159","author":[{"dropping-particle":"","family":"Loft","given":"Anne","non-dropping-particle":"","parse-names":false,"suffix":""}],"collection-title":"Routledge Library Editions: Accounting History","id":"ITEM-1","issued":{"date-parts":[["1986","1","1"]]},"note":"From Duplicate 1 (Understanding accounting in its social history and historical context : the case of cost accounting in Britain 1914-1925 - Loft, Anne)\n\nAccession Number: edsble.288050; Publication Type: Dissertation; Language: English; Publication Date: 19860101; Imprint: University of London, 1986.","publisher":"Taylor &amp; Francis Group","title":"Understanding Accounting in Its Social and Historical Context: The Case of Cost Accounting in Britain, 1914-1925","type":"book"},"uris":["http://www.mendeley.com/documents/?uuid=bf9ae1cb-72ed-4429-8fa5-81992c723fe2"]}],"mendeley":{"formattedCitation":"(Loft, 1986)","plainTextFormattedCitation":"(Loft, 1986)","previouslyFormattedCitation":"(Loft, 1986)"},"properties":{"noteIndex":0},"schema":"https://github.com/citation-style-language/schema/raw/master/csl-citation.json"}</w:instrText>
            </w:r>
            <w:r w:rsidRPr="0001713E">
              <w:rPr>
                <w:sz w:val="18"/>
                <w:szCs w:val="18"/>
              </w:rPr>
              <w:fldChar w:fldCharType="separate"/>
            </w:r>
            <w:r w:rsidRPr="0001713E">
              <w:rPr>
                <w:b w:val="0"/>
                <w:bCs w:val="0"/>
                <w:noProof/>
                <w:sz w:val="18"/>
                <w:szCs w:val="18"/>
              </w:rPr>
              <w:t>(Loft, 1986)</w:t>
            </w:r>
            <w:r w:rsidRPr="0001713E">
              <w:rPr>
                <w:sz w:val="18"/>
                <w:szCs w:val="18"/>
              </w:rPr>
              <w:fldChar w:fldCharType="end"/>
            </w:r>
          </w:p>
        </w:tc>
        <w:tc>
          <w:tcPr>
            <w:tcW w:w="6916" w:type="dxa"/>
            <w:tcBorders>
              <w:top w:val="nil"/>
              <w:bottom w:val="nil"/>
            </w:tcBorders>
            <w:shd w:val="clear" w:color="auto" w:fill="FFFFFF" w:themeFill="background1"/>
          </w:tcPr>
          <w:p w14:paraId="609540D6" w14:textId="1CF3A843" w:rsidR="1112C362" w:rsidRPr="0001713E" w:rsidRDefault="68675208" w:rsidP="68675208">
            <w:pPr>
              <w:spacing w:beforeAutospacing="1" w:afterAutospacing="1"/>
              <w:jc w:val="both"/>
              <w:cnfStyle w:val="000000000000" w:firstRow="0" w:lastRow="0" w:firstColumn="0" w:lastColumn="0" w:oddVBand="0" w:evenVBand="0" w:oddHBand="0" w:evenHBand="0" w:firstRowFirstColumn="0" w:firstRowLastColumn="0" w:lastRowFirstColumn="0" w:lastRowLastColumn="0"/>
              <w:rPr>
                <w:i/>
                <w:iCs/>
                <w:sz w:val="17"/>
                <w:szCs w:val="17"/>
                <w:lang w:val="en-US" w:eastAsia="es-ES"/>
              </w:rPr>
            </w:pPr>
            <w:r w:rsidRPr="0001713E">
              <w:rPr>
                <w:i/>
                <w:iCs/>
                <w:sz w:val="17"/>
                <w:szCs w:val="17"/>
                <w:lang w:val="en-US" w:eastAsia="es-ES"/>
              </w:rPr>
              <w:t>Towards a critical understanding of accounting: the case of cost accounting in the UK, 1914–1925</w:t>
            </w:r>
          </w:p>
        </w:tc>
      </w:tr>
      <w:tr w:rsidR="1112C362" w:rsidRPr="000C3ED9" w14:paraId="36398AF7" w14:textId="77777777" w:rsidTr="0001713E">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bottom w:val="nil"/>
            </w:tcBorders>
            <w:shd w:val="clear" w:color="auto" w:fill="FFFFFF" w:themeFill="background1"/>
          </w:tcPr>
          <w:p w14:paraId="7AD97B70" w14:textId="6B1BF02F" w:rsidR="1112C362" w:rsidRPr="0001713E" w:rsidRDefault="007433D8" w:rsidP="1112C362">
            <w:pPr>
              <w:jc w:val="both"/>
              <w:rPr>
                <w:b w:val="0"/>
                <w:bCs w:val="0"/>
                <w:sz w:val="18"/>
                <w:szCs w:val="18"/>
                <w:lang w:val="en-US"/>
              </w:rPr>
            </w:pPr>
            <w:r w:rsidRPr="0001713E">
              <w:rPr>
                <w:sz w:val="18"/>
                <w:szCs w:val="18"/>
                <w:lang w:val="en-US"/>
              </w:rPr>
              <w:fldChar w:fldCharType="begin" w:fldLock="1"/>
            </w:r>
            <w:r w:rsidR="0023715B">
              <w:rPr>
                <w:b w:val="0"/>
                <w:bCs w:val="0"/>
                <w:sz w:val="18"/>
                <w:szCs w:val="18"/>
                <w:lang w:val="en-US"/>
              </w:rPr>
              <w:instrText>ADDIN CSL_CITATION {"citationItems":[{"id":"ITEM-1","itemData":{"DOI":"10.1016/0361-3682(86)90027-9","ISSN":"0361-3682","abstract":"Historical elaboration of Foucault's concept of “power-knowledge” can explain both the late-medieval developments in accounting technology and why the near-universal adoption of a discourse of accountancy is delayed until the nineteenth century. It is the disciplinary techniques of elite medieval educational institutions—the new universities and their examinations—that generate new power-knowledge relations. These techniques embody forms of textual rewriting (including the new “alphanumeric” system) from which the accounting advances are produced and “control” is formalised. “Double-entry” is an aspect of these rewritings, linked also to the new writing and rewritings of money, especially the bill of exchange. By the eighteenth century accounting technologies are feeding back in a general way into educational practice (e.g. in the deployment of “book-keeping” on pupils) and this culminates in the introduction of the written examination and the mathematical mark. A new regime of “objective” evaluation of total populations, made up of individually “calculable” subjects, is thereby engendered and then extended — apparently first in the U.S. railroads — into modern comprehensive management and financial accounting systems (systems of “accountability” embodying Foucault's “reciprocal hierarchical observation” and “normalising judgement”), while written examinations become used to legitimate the newly autonomous profession of accountancy.","author":[{"dropping-particle":"","family":"Hoskin","given":"Keith","non-dropping-particle":"","parse-names":false,"suffix":""},{"dropping-particle":"","family":"Macve","given":"Richard","non-dropping-particle":"","parse-names":false,"suffix":""}],"container-title":"Accounting, Organizations and Society","id":"ITEM-1","issue":"2","issued":{"date-parts":[["1986","1","1"]]},"page":"105-136","publisher":"Pergamon","title":"Accounting and the examination: A genealogy of disciplinary power","type":"article-journal","volume":"11"},"uris":["http://www.mendeley.com/documents/?uuid=3ee2fa27-12d1-38a5-aaaa-1f688ba30da4"]}],"mendeley":{"formattedCitation":"(Hoskin y Macve, 1986)","plainTextFormattedCitation":"(Hoskin y Macve, 1986)","previouslyFormattedCitation":"(Hoskin y Macve, 1986)"},"properties":{"noteIndex":0},"schema":"https://github.com/citation-style-language/schema/raw/master/csl-citation.json"}</w:instrText>
            </w:r>
            <w:r w:rsidRPr="0001713E">
              <w:rPr>
                <w:sz w:val="18"/>
                <w:szCs w:val="18"/>
                <w:lang w:val="en-US"/>
              </w:rPr>
              <w:fldChar w:fldCharType="separate"/>
            </w:r>
            <w:r w:rsidR="0023715B" w:rsidRPr="0023715B">
              <w:rPr>
                <w:b w:val="0"/>
                <w:bCs w:val="0"/>
                <w:noProof/>
                <w:sz w:val="18"/>
                <w:szCs w:val="18"/>
                <w:lang w:val="en-US"/>
              </w:rPr>
              <w:t>(Hoskin y Macve, 1986)</w:t>
            </w:r>
            <w:r w:rsidRPr="0001713E">
              <w:rPr>
                <w:sz w:val="18"/>
                <w:szCs w:val="18"/>
                <w:lang w:val="en-US"/>
              </w:rPr>
              <w:fldChar w:fldCharType="end"/>
            </w:r>
          </w:p>
        </w:tc>
        <w:tc>
          <w:tcPr>
            <w:tcW w:w="6916" w:type="dxa"/>
            <w:tcBorders>
              <w:top w:val="nil"/>
              <w:bottom w:val="nil"/>
            </w:tcBorders>
            <w:shd w:val="clear" w:color="auto" w:fill="FFFFFF" w:themeFill="background1"/>
          </w:tcPr>
          <w:p w14:paraId="35B03C62" w14:textId="224D9CC9" w:rsidR="1112C362" w:rsidRPr="0001713E" w:rsidRDefault="68675208" w:rsidP="68675208">
            <w:pPr>
              <w:jc w:val="both"/>
              <w:cnfStyle w:val="000000100000" w:firstRow="0" w:lastRow="0" w:firstColumn="0" w:lastColumn="0" w:oddVBand="0" w:evenVBand="0" w:oddHBand="1" w:evenHBand="0" w:firstRowFirstColumn="0" w:firstRowLastColumn="0" w:lastRowFirstColumn="0" w:lastRowLastColumn="0"/>
              <w:rPr>
                <w:i/>
                <w:iCs/>
                <w:sz w:val="17"/>
                <w:szCs w:val="17"/>
                <w:lang w:val="en-US" w:eastAsia="es-ES"/>
              </w:rPr>
            </w:pPr>
            <w:r w:rsidRPr="0001713E">
              <w:rPr>
                <w:i/>
                <w:iCs/>
                <w:sz w:val="17"/>
                <w:szCs w:val="17"/>
                <w:lang w:val="en-US" w:eastAsia="es-ES"/>
              </w:rPr>
              <w:t>Accounting and the examination: a genealogy of disciplinary power</w:t>
            </w:r>
          </w:p>
        </w:tc>
      </w:tr>
      <w:tr w:rsidR="1112C362" w:rsidRPr="000C3ED9" w14:paraId="632C0CBB" w14:textId="77777777" w:rsidTr="0001713E">
        <w:trPr>
          <w:trHeight w:val="214"/>
          <w:jc w:val="center"/>
        </w:trPr>
        <w:tc>
          <w:tcPr>
            <w:cnfStyle w:val="001000000000" w:firstRow="0" w:lastRow="0" w:firstColumn="1" w:lastColumn="0" w:oddVBand="0" w:evenVBand="0" w:oddHBand="0" w:evenHBand="0" w:firstRowFirstColumn="0" w:firstRowLastColumn="0" w:lastRowFirstColumn="0" w:lastRowLastColumn="0"/>
            <w:tcW w:w="2127" w:type="dxa"/>
            <w:tcBorders>
              <w:top w:val="nil"/>
            </w:tcBorders>
            <w:shd w:val="clear" w:color="auto" w:fill="FFFFFF" w:themeFill="background1"/>
          </w:tcPr>
          <w:p w14:paraId="6194F2DE" w14:textId="700258FE" w:rsidR="1112C362" w:rsidRPr="0001713E" w:rsidRDefault="007433D8" w:rsidP="1112C362">
            <w:pPr>
              <w:jc w:val="both"/>
              <w:rPr>
                <w:b w:val="0"/>
                <w:bCs w:val="0"/>
                <w:sz w:val="18"/>
                <w:szCs w:val="18"/>
              </w:rPr>
            </w:pPr>
            <w:r w:rsidRPr="0001713E">
              <w:rPr>
                <w:sz w:val="18"/>
                <w:szCs w:val="18"/>
              </w:rPr>
              <w:fldChar w:fldCharType="begin" w:fldLock="1"/>
            </w:r>
            <w:r w:rsidR="00FF7DA3" w:rsidRPr="0001713E">
              <w:rPr>
                <w:b w:val="0"/>
                <w:bCs w:val="0"/>
                <w:sz w:val="18"/>
                <w:szCs w:val="18"/>
              </w:rPr>
              <w:instrText>ADDIN CSL_CITATION {"citationItems":[{"id":"ITEM-1","itemData":{"ISSN":"0361-3682","author":[{"dropping-particle":"","family":"Hopwood","given":"Anthony G","non-dropping-particle":"","parse-names":false,"suffix":""}],"container-title":"Accounting, organizations and society","id":"ITEM-1","issue":"3","issued":{"date-parts":[["1987"]]},"page":"207-234","publisher":"Elsevier","title":"The archeology of accounting systems","type":"article-journal","volume":"12"},"uris":["http://www.mendeley.com/documents/?uuid=90c412dc-c997-4d0d-bcd5-b4a971eb2a8a"]}],"mendeley":{"formattedCitation":"(Hopwood, 1987)","plainTextFormattedCitation":"(Hopwood, 1987)","previouslyFormattedCitation":"(Hopwood, 1987)"},"properties":{"noteIndex":0},"schema":"https://github.com/citation-style-language/schema/raw/master/csl-citation.json"}</w:instrText>
            </w:r>
            <w:r w:rsidRPr="0001713E">
              <w:rPr>
                <w:sz w:val="18"/>
                <w:szCs w:val="18"/>
              </w:rPr>
              <w:fldChar w:fldCharType="separate"/>
            </w:r>
            <w:r w:rsidRPr="0001713E">
              <w:rPr>
                <w:b w:val="0"/>
                <w:bCs w:val="0"/>
                <w:noProof/>
                <w:sz w:val="18"/>
                <w:szCs w:val="18"/>
              </w:rPr>
              <w:t>(Hopwood, 1987)</w:t>
            </w:r>
            <w:r w:rsidRPr="0001713E">
              <w:rPr>
                <w:sz w:val="18"/>
                <w:szCs w:val="18"/>
              </w:rPr>
              <w:fldChar w:fldCharType="end"/>
            </w:r>
          </w:p>
        </w:tc>
        <w:tc>
          <w:tcPr>
            <w:tcW w:w="6916" w:type="dxa"/>
            <w:tcBorders>
              <w:top w:val="nil"/>
            </w:tcBorders>
            <w:shd w:val="clear" w:color="auto" w:fill="FFFFFF" w:themeFill="background1"/>
          </w:tcPr>
          <w:p w14:paraId="55B5A69A" w14:textId="56A4E082" w:rsidR="1112C362" w:rsidRPr="0001713E" w:rsidRDefault="68675208" w:rsidP="68675208">
            <w:pPr>
              <w:jc w:val="both"/>
              <w:cnfStyle w:val="000000000000" w:firstRow="0" w:lastRow="0" w:firstColumn="0" w:lastColumn="0" w:oddVBand="0" w:evenVBand="0" w:oddHBand="0" w:evenHBand="0" w:firstRowFirstColumn="0" w:firstRowLastColumn="0" w:lastRowFirstColumn="0" w:lastRowLastColumn="0"/>
              <w:rPr>
                <w:i/>
                <w:iCs/>
                <w:sz w:val="17"/>
                <w:szCs w:val="17"/>
                <w:lang w:val="en-US" w:eastAsia="es-ES"/>
              </w:rPr>
            </w:pPr>
            <w:r w:rsidRPr="0001713E">
              <w:rPr>
                <w:i/>
                <w:iCs/>
                <w:sz w:val="17"/>
                <w:szCs w:val="17"/>
                <w:lang w:val="en-US" w:eastAsia="es-ES"/>
              </w:rPr>
              <w:t>The archaeology of accounting systems</w:t>
            </w:r>
          </w:p>
        </w:tc>
      </w:tr>
    </w:tbl>
    <w:p w14:paraId="6B2D75A2" w14:textId="7968E351" w:rsidR="1112C362" w:rsidRDefault="1112C362" w:rsidP="1112C362">
      <w:pPr>
        <w:jc w:val="both"/>
        <w:rPr>
          <w:rFonts w:ascii="Calibri" w:eastAsia="Calibri" w:hAnsi="Calibri" w:cs="Calibri"/>
          <w:lang w:eastAsia="es-ES"/>
        </w:rPr>
      </w:pPr>
      <w:r w:rsidRPr="1112C362">
        <w:rPr>
          <w:rFonts w:ascii="Calibri" w:eastAsia="Calibri" w:hAnsi="Calibri" w:cs="Calibri"/>
          <w:lang w:eastAsia="es-ES"/>
        </w:rPr>
        <w:t>Fuente: Elaboración propia a partir de Gendron y Baker (2005)</w:t>
      </w:r>
      <w:r w:rsidR="0014219C">
        <w:rPr>
          <w:rFonts w:ascii="Calibri" w:eastAsia="Calibri" w:hAnsi="Calibri" w:cs="Calibri"/>
          <w:lang w:eastAsia="es-ES"/>
        </w:rPr>
        <w:t>.</w:t>
      </w:r>
    </w:p>
    <w:p w14:paraId="68B363F2" w14:textId="12C700B6" w:rsidR="1112C362" w:rsidRPr="00C47CAE" w:rsidRDefault="1112C362" w:rsidP="1112C362">
      <w:pPr>
        <w:jc w:val="both"/>
        <w:rPr>
          <w:rFonts w:ascii="Calibri" w:eastAsia="Calibri" w:hAnsi="Calibri" w:cs="Calibri"/>
          <w:lang w:eastAsia="es-ES"/>
        </w:rPr>
      </w:pPr>
      <w:r w:rsidRPr="00C47CAE">
        <w:rPr>
          <w:rFonts w:ascii="Calibri" w:eastAsia="Calibri" w:hAnsi="Calibri" w:cs="Calibri"/>
          <w:lang w:eastAsia="es-ES"/>
        </w:rPr>
        <w:t xml:space="preserve">De esta forma se empieza a consolidar una perspectiva </w:t>
      </w:r>
      <w:r w:rsidR="009250AB" w:rsidRPr="00C47CAE">
        <w:rPr>
          <w:rFonts w:ascii="Calibri" w:eastAsia="Calibri" w:hAnsi="Calibri" w:cs="Calibri"/>
          <w:lang w:eastAsia="es-ES"/>
        </w:rPr>
        <w:t>foucaultiana</w:t>
      </w:r>
      <w:r w:rsidRPr="00C47CAE">
        <w:rPr>
          <w:rFonts w:ascii="Calibri" w:eastAsia="Calibri" w:hAnsi="Calibri" w:cs="Calibri"/>
          <w:lang w:eastAsia="es-ES"/>
        </w:rPr>
        <w:t xml:space="preserve"> en la investigación alternativa en contabilidad. Para Gendron y Baker (2005) la expansión de estas ideas se puede explicar, de un lado, en el prestigio que empieza a ganar AOS; y de otro, en la incertidumbre epistemológica que caracteriza en ese momento la investigación contable.</w:t>
      </w:r>
    </w:p>
    <w:p w14:paraId="104720E1" w14:textId="2F01E5B7" w:rsidR="138C1D36" w:rsidRPr="00C47CAE" w:rsidRDefault="00D97915" w:rsidP="00D97915">
      <w:pPr>
        <w:jc w:val="both"/>
        <w:rPr>
          <w:lang w:eastAsia="es-ES"/>
        </w:rPr>
      </w:pPr>
      <w:r w:rsidRPr="00C47CAE">
        <w:rPr>
          <w:lang w:eastAsia="es-ES"/>
        </w:rPr>
        <w:t>Posteriormente</w:t>
      </w:r>
      <w:r w:rsidR="1112C362" w:rsidRPr="00C47CAE">
        <w:rPr>
          <w:lang w:eastAsia="es-ES"/>
        </w:rPr>
        <w:t xml:space="preserve">, se encuentra la revisión de Macintosh (2002) que, si bien no se presenta como tal, efectúa una caracterización relevante de la contabilidad como régimen de verdad en los últimos seis siglos. Esta caracterización la lleva a cabo a partir de la síntesis de cinco estudios de caso organizacionales (Wedgwood; Hawthorne Works; </w:t>
      </w:r>
      <w:proofErr w:type="spellStart"/>
      <w:r w:rsidR="1112C362" w:rsidRPr="00C47CAE">
        <w:rPr>
          <w:lang w:eastAsia="es-ES"/>
        </w:rPr>
        <w:t>Empire</w:t>
      </w:r>
      <w:proofErr w:type="spellEnd"/>
      <w:r w:rsidR="1112C362" w:rsidRPr="00C47CAE">
        <w:rPr>
          <w:lang w:eastAsia="es-ES"/>
        </w:rPr>
        <w:t xml:space="preserve"> </w:t>
      </w:r>
      <w:proofErr w:type="spellStart"/>
      <w:r w:rsidR="1112C362" w:rsidRPr="00C47CAE">
        <w:rPr>
          <w:lang w:eastAsia="es-ES"/>
        </w:rPr>
        <w:t>Glass</w:t>
      </w:r>
      <w:proofErr w:type="spellEnd"/>
      <w:r w:rsidR="1112C362" w:rsidRPr="00C47CAE">
        <w:rPr>
          <w:lang w:eastAsia="es-ES"/>
        </w:rPr>
        <w:t>; ITT y Johnson &amp; Johnson) y una revisión general del papel de la contabilidad en la edad media. Este recorrido está marcado por el análisis de la contabilidad, en términos de su participación en ejercicios de vigilancia, disciplinamiento o castigo.</w:t>
      </w:r>
    </w:p>
    <w:p w14:paraId="2F14E1CB" w14:textId="17C75882" w:rsidR="40734334" w:rsidRPr="00C47CAE" w:rsidRDefault="1112C362" w:rsidP="00D97915">
      <w:pPr>
        <w:jc w:val="both"/>
        <w:rPr>
          <w:lang w:eastAsia="es-ES"/>
        </w:rPr>
      </w:pPr>
      <w:r w:rsidRPr="00C47CAE">
        <w:rPr>
          <w:lang w:eastAsia="es-ES"/>
        </w:rPr>
        <w:lastRenderedPageBreak/>
        <w:t xml:space="preserve">Respecto del análisis de la contabilidad en la edad media, Macintosh (2002) plantea que la contabilidad por partida doble se instaló como poder-conocimiento para </w:t>
      </w:r>
      <w:r w:rsidRPr="0001713E">
        <w:rPr>
          <w:i/>
          <w:iCs/>
          <w:lang w:eastAsia="es-ES"/>
        </w:rPr>
        <w:t>salvar</w:t>
      </w:r>
      <w:r w:rsidRPr="00C47CAE">
        <w:rPr>
          <w:lang w:eastAsia="es-ES"/>
        </w:rPr>
        <w:t xml:space="preserve"> el alma del comerciante enmendando su usura. Esto era posible porque, de acuerdo con los postulados de Pacioli</w:t>
      </w:r>
      <w:r w:rsidR="002C1528">
        <w:rPr>
          <w:lang w:eastAsia="es-ES"/>
        </w:rPr>
        <w:t>,</w:t>
      </w:r>
      <w:r w:rsidRPr="00C47CAE">
        <w:rPr>
          <w:lang w:eastAsia="es-ES"/>
        </w:rPr>
        <w:t xml:space="preserve"> obtener ganancias era señal de ser buena persona e ir rumbo al cielo. De esta forma, la contabilidad actuó como una herramienta de legitimación del comerciante ante la iglesia, la aristocracia y ante sí mismo. </w:t>
      </w:r>
    </w:p>
    <w:p w14:paraId="14155C97" w14:textId="3A75B7C6" w:rsidR="40734334" w:rsidRPr="0001713E" w:rsidRDefault="23F3FC12" w:rsidP="00D97915">
      <w:pPr>
        <w:jc w:val="both"/>
        <w:rPr>
          <w:lang w:eastAsia="es-ES"/>
        </w:rPr>
      </w:pPr>
      <w:r w:rsidRPr="23F3FC12">
        <w:rPr>
          <w:lang w:eastAsia="es-ES"/>
        </w:rPr>
        <w:t xml:space="preserve">En el tránsito de la edad media hacia la consolidación del capitalismo moderno la contabilidad va a intervenir en articulación con la medición del tiempo y el establecimiento de horarios para ejercer el poder disciplinario y conseguir un trabajador más dócil (Macintosh, 2002). En esa línea, hacia mediados del siglo XVIII las fábricas empezaron a establecer regímenes de vigilancia similares al panóptico que propiciarían mejores resultados a través del control del trabajador. Este es el caso de </w:t>
      </w:r>
      <w:r w:rsidRPr="23F3FC12">
        <w:rPr>
          <w:i/>
          <w:iCs/>
          <w:lang w:eastAsia="es-ES"/>
        </w:rPr>
        <w:t>Wedgwood</w:t>
      </w:r>
      <w:r w:rsidRPr="23F3FC12">
        <w:rPr>
          <w:lang w:eastAsia="es-ES"/>
        </w:rPr>
        <w:t xml:space="preserve">, que según Macintosh (1994) citado por Macintosh (2002) efectuó una arquitectura física, social y mental en la que su elaborado y detallado sistema de contabilidad jugó un papel vital en establecer su operación de manera similar a una prisión.  Para la década de 1920 </w:t>
      </w:r>
      <w:r w:rsidRPr="23F3FC12">
        <w:rPr>
          <w:i/>
          <w:iCs/>
          <w:lang w:eastAsia="es-ES"/>
        </w:rPr>
        <w:t>Hawthorne Works</w:t>
      </w:r>
      <w:r w:rsidRPr="23F3FC12">
        <w:rPr>
          <w:lang w:eastAsia="es-ES"/>
        </w:rPr>
        <w:t xml:space="preserve"> avanzaría en la construcción de esquemas de incentivos ligados a la medición del desempeño (Roethlisberger, Dickson y Wright, 1939; citados en Macintosh, 2002). Después,  </w:t>
      </w:r>
      <w:proofErr w:type="spellStart"/>
      <w:r w:rsidRPr="23F3FC12">
        <w:rPr>
          <w:i/>
          <w:iCs/>
          <w:lang w:eastAsia="es-ES"/>
        </w:rPr>
        <w:t>Empire</w:t>
      </w:r>
      <w:proofErr w:type="spellEnd"/>
      <w:r w:rsidRPr="23F3FC12">
        <w:rPr>
          <w:i/>
          <w:iCs/>
          <w:lang w:eastAsia="es-ES"/>
        </w:rPr>
        <w:t xml:space="preserve"> </w:t>
      </w:r>
      <w:proofErr w:type="spellStart"/>
      <w:r w:rsidRPr="23F3FC12">
        <w:rPr>
          <w:i/>
          <w:iCs/>
          <w:lang w:eastAsia="es-ES"/>
        </w:rPr>
        <w:t>Glass</w:t>
      </w:r>
      <w:proofErr w:type="spellEnd"/>
      <w:r w:rsidRPr="23F3FC12">
        <w:rPr>
          <w:i/>
          <w:iCs/>
          <w:lang w:eastAsia="es-ES"/>
        </w:rPr>
        <w:t xml:space="preserve"> </w:t>
      </w:r>
      <w:r w:rsidRPr="23F3FC12">
        <w:rPr>
          <w:lang w:eastAsia="es-ES"/>
        </w:rPr>
        <w:t xml:space="preserve">migró hacia mecanismos de división de los espacios organizacionales que fueron medibles y por lo tanto evaluables, a través del presupuesto y el costeo estándar. Estos espacios se configuraron como lugares de confinamiento autónomo de los trabajadores (Anthony, </w:t>
      </w:r>
      <w:proofErr w:type="spellStart"/>
      <w:r w:rsidRPr="23F3FC12">
        <w:rPr>
          <w:lang w:eastAsia="es-ES"/>
        </w:rPr>
        <w:t>Dearden</w:t>
      </w:r>
      <w:proofErr w:type="spellEnd"/>
      <w:r w:rsidRPr="23F3FC12">
        <w:rPr>
          <w:lang w:eastAsia="es-ES"/>
        </w:rPr>
        <w:t xml:space="preserve"> y </w:t>
      </w:r>
      <w:proofErr w:type="spellStart"/>
      <w:r w:rsidRPr="23F3FC12">
        <w:rPr>
          <w:lang w:eastAsia="es-ES"/>
        </w:rPr>
        <w:t>Vancil</w:t>
      </w:r>
      <w:proofErr w:type="spellEnd"/>
      <w:r w:rsidRPr="23F3FC12">
        <w:rPr>
          <w:lang w:eastAsia="es-ES"/>
        </w:rPr>
        <w:t xml:space="preserve">, 1965 citados por Macintosh, 2002) lo que consolidó la lógica de la evaluación y del examen. Siguiendo a Sampson (1974), Macintosh (2002) indica que en </w:t>
      </w:r>
      <w:r w:rsidRPr="23F3FC12">
        <w:rPr>
          <w:i/>
          <w:iCs/>
          <w:lang w:eastAsia="es-ES"/>
        </w:rPr>
        <w:t>ITT</w:t>
      </w:r>
      <w:r w:rsidRPr="23F3FC12">
        <w:rPr>
          <w:lang w:eastAsia="es-ES"/>
        </w:rPr>
        <w:t xml:space="preserve"> se diseñaron centros autónomos de beneficios con un gerente a cargo de cada uno, totalmente responsable del desempeño financiero. Entonces, se requirió que cada gerente presentara planes en el lenguaje de la contabilidad y se disciplinara según la lógica de esta. Un esquema similar fue aplicado en </w:t>
      </w:r>
      <w:r w:rsidRPr="23F3FC12">
        <w:rPr>
          <w:i/>
          <w:iCs/>
          <w:lang w:eastAsia="es-ES"/>
        </w:rPr>
        <w:t>Johnson &amp; Johnson</w:t>
      </w:r>
      <w:r w:rsidRPr="23F3FC12">
        <w:rPr>
          <w:lang w:eastAsia="es-ES"/>
        </w:rPr>
        <w:t xml:space="preserve">, donde, un sistema silencioso de sanción promovió la </w:t>
      </w:r>
      <w:proofErr w:type="spellStart"/>
      <w:r w:rsidRPr="23F3FC12">
        <w:rPr>
          <w:lang w:eastAsia="es-ES"/>
        </w:rPr>
        <w:t>autonormalización</w:t>
      </w:r>
      <w:proofErr w:type="spellEnd"/>
      <w:r w:rsidRPr="23F3FC12">
        <w:rPr>
          <w:lang w:eastAsia="es-ES"/>
        </w:rPr>
        <w:t xml:space="preserve"> de los empleados (Anthony y Govindarajan,1995; Simons, 2000 citados en Macintosh, 2002).</w:t>
      </w:r>
    </w:p>
    <w:p w14:paraId="6C1B75F2" w14:textId="6DA4C235" w:rsidR="40734334" w:rsidRPr="00C47CAE" w:rsidRDefault="1112C362" w:rsidP="00D97915">
      <w:pPr>
        <w:jc w:val="both"/>
        <w:rPr>
          <w:b/>
          <w:bCs/>
          <w:lang w:eastAsia="es-ES"/>
        </w:rPr>
      </w:pPr>
      <w:r w:rsidRPr="00C47CAE">
        <w:rPr>
          <w:lang w:eastAsia="es-ES"/>
        </w:rPr>
        <w:t>De esta forma, la contabilidad en concurso con otras prácticas organizacionales estableció divisiones físicas y abstractas en la empresa, incorporando un principio del cuerpo eficiente y la disciplina del tiempo; así como exámenes regulares que orientan a los ejecutivos a los resultados financieros (Macintosh, 2002).</w:t>
      </w:r>
      <w:r w:rsidR="7250D7CB" w:rsidRPr="00C47CAE">
        <w:rPr>
          <w:lang w:eastAsia="es-ES"/>
        </w:rPr>
        <w:t xml:space="preserve"> </w:t>
      </w:r>
      <w:r w:rsidRPr="00C47CAE">
        <w:rPr>
          <w:lang w:eastAsia="es-ES"/>
        </w:rPr>
        <w:t xml:space="preserve">Este tipo de revisiones son relevantes porque permiten observar en términos empíricos las relaciones entre las formas de poder y los modos de producción, lo </w:t>
      </w:r>
      <w:r w:rsidR="00A03E24" w:rsidRPr="00C47CAE">
        <w:rPr>
          <w:lang w:eastAsia="es-ES"/>
        </w:rPr>
        <w:t>cual,</w:t>
      </w:r>
      <w:r w:rsidR="00A329D0">
        <w:rPr>
          <w:lang w:eastAsia="es-ES"/>
        </w:rPr>
        <w:t xml:space="preserve"> para el autor</w:t>
      </w:r>
      <w:r w:rsidRPr="00C47CAE">
        <w:rPr>
          <w:lang w:eastAsia="es-ES"/>
        </w:rPr>
        <w:t>, es una preocupación relevante en la obra de Foucault.</w:t>
      </w:r>
    </w:p>
    <w:p w14:paraId="426DD18B" w14:textId="0CFEB1F2" w:rsidR="7250D7CB" w:rsidRPr="00084130" w:rsidRDefault="23F3FC12" w:rsidP="68675208">
      <w:pPr>
        <w:jc w:val="both"/>
        <w:rPr>
          <w:lang w:eastAsia="es-ES"/>
        </w:rPr>
      </w:pPr>
      <w:r w:rsidRPr="23F3FC12">
        <w:rPr>
          <w:lang w:eastAsia="es-ES"/>
        </w:rPr>
        <w:t xml:space="preserve">Trabajos más recientes han realizado exploraciones para recoger investigaciones en contabilidad que aborden rejillas de análisis específicas de la obra de Foucault. El inventario de </w:t>
      </w:r>
      <w:proofErr w:type="spellStart"/>
      <w:r w:rsidRPr="23F3FC12">
        <w:rPr>
          <w:lang w:eastAsia="es-ES"/>
        </w:rPr>
        <w:t>McKinlay</w:t>
      </w:r>
      <w:proofErr w:type="spellEnd"/>
      <w:r w:rsidRPr="23F3FC12">
        <w:rPr>
          <w:lang w:eastAsia="es-ES"/>
        </w:rPr>
        <w:t xml:space="preserve"> y Pezet (2010) indaga sobre ¿Por qué el concepto de gubernamentalidad tomó preponderancia en la construcción de la historia de la contabilidad? En esa ruta encuentran que la implantación del neoliberalismo en la década del 80 proporcionó un contexto clave para la expansión de la gubernamentalidad en la investigación en contabilidad. La reducción del Estado y las transformaciones subsiguientes se vieron como expresión de la </w:t>
      </w:r>
      <w:r w:rsidRPr="0019663E">
        <w:rPr>
          <w:i/>
          <w:iCs/>
          <w:lang w:eastAsia="es-ES"/>
        </w:rPr>
        <w:t>acción a distancia</w:t>
      </w:r>
      <w:r w:rsidRPr="23F3FC12">
        <w:rPr>
          <w:lang w:eastAsia="es-ES"/>
        </w:rPr>
        <w:t>. Además, al convertir la medición en imperativo de la gestión, se interviene sobre la subjetividad de las personas en la búsqueda de una responsabilidad individual que se debe asumir. Este marco facilita el surgimiento de la “nueva historia de la contabilidad” que va a problematizar su desarrollo como una acumulación de mejoras técnicas. La nueva historia va a señalar el carácter social de las prácticas contables. El marco foucaultiano posibilitó así, argumentar que no solo las prácticas contables son resultado del contexto social, sino que las técnicas contables han sido cruciales para construir una forma determinada de ver el mundo (</w:t>
      </w:r>
      <w:proofErr w:type="spellStart"/>
      <w:r w:rsidRPr="23F3FC12">
        <w:rPr>
          <w:lang w:eastAsia="es-ES"/>
        </w:rPr>
        <w:t>McKinlay</w:t>
      </w:r>
      <w:proofErr w:type="spellEnd"/>
      <w:r w:rsidRPr="23F3FC12">
        <w:rPr>
          <w:lang w:eastAsia="es-ES"/>
        </w:rPr>
        <w:t xml:space="preserve"> y Pezet, 2010). Los autores indican el trabajo de Miller y O’Leary (1994)  </w:t>
      </w:r>
      <w:r w:rsidRPr="23F3FC12">
        <w:rPr>
          <w:i/>
          <w:iCs/>
          <w:lang w:eastAsia="es-ES"/>
        </w:rPr>
        <w:t>“Accounting, “</w:t>
      </w:r>
      <w:proofErr w:type="spellStart"/>
      <w:r w:rsidRPr="23F3FC12">
        <w:rPr>
          <w:i/>
          <w:iCs/>
          <w:lang w:eastAsia="es-ES"/>
        </w:rPr>
        <w:t>Economic</w:t>
      </w:r>
      <w:proofErr w:type="spellEnd"/>
      <w:r w:rsidRPr="23F3FC12">
        <w:rPr>
          <w:i/>
          <w:iCs/>
          <w:lang w:eastAsia="es-ES"/>
        </w:rPr>
        <w:t xml:space="preserve"> </w:t>
      </w:r>
      <w:proofErr w:type="spellStart"/>
      <w:r w:rsidRPr="23F3FC12">
        <w:rPr>
          <w:i/>
          <w:iCs/>
          <w:lang w:eastAsia="es-ES"/>
        </w:rPr>
        <w:t>Citizenship</w:t>
      </w:r>
      <w:proofErr w:type="spellEnd"/>
      <w:r w:rsidRPr="23F3FC12">
        <w:rPr>
          <w:i/>
          <w:iCs/>
          <w:lang w:eastAsia="es-ES"/>
        </w:rPr>
        <w:t xml:space="preserve">” and </w:t>
      </w:r>
      <w:proofErr w:type="spellStart"/>
      <w:r w:rsidRPr="23F3FC12">
        <w:rPr>
          <w:i/>
          <w:iCs/>
          <w:lang w:eastAsia="es-ES"/>
        </w:rPr>
        <w:t>the</w:t>
      </w:r>
      <w:proofErr w:type="spellEnd"/>
      <w:r w:rsidRPr="23F3FC12">
        <w:rPr>
          <w:i/>
          <w:iCs/>
          <w:lang w:eastAsia="es-ES"/>
        </w:rPr>
        <w:t xml:space="preserve"> </w:t>
      </w:r>
      <w:proofErr w:type="spellStart"/>
      <w:r w:rsidRPr="23F3FC12">
        <w:rPr>
          <w:i/>
          <w:iCs/>
          <w:lang w:eastAsia="es-ES"/>
        </w:rPr>
        <w:t>spatial</w:t>
      </w:r>
      <w:proofErr w:type="spellEnd"/>
      <w:r w:rsidRPr="23F3FC12">
        <w:rPr>
          <w:i/>
          <w:iCs/>
          <w:lang w:eastAsia="es-ES"/>
        </w:rPr>
        <w:t xml:space="preserve"> </w:t>
      </w:r>
      <w:proofErr w:type="spellStart"/>
      <w:r w:rsidRPr="23F3FC12">
        <w:rPr>
          <w:i/>
          <w:iCs/>
          <w:lang w:eastAsia="es-ES"/>
        </w:rPr>
        <w:t>reordering</w:t>
      </w:r>
      <w:proofErr w:type="spellEnd"/>
      <w:r w:rsidRPr="23F3FC12">
        <w:rPr>
          <w:i/>
          <w:iCs/>
          <w:lang w:eastAsia="es-ES"/>
        </w:rPr>
        <w:t xml:space="preserve"> of manufacture” </w:t>
      </w:r>
      <w:r w:rsidRPr="23F3FC12">
        <w:rPr>
          <w:lang w:eastAsia="es-ES"/>
        </w:rPr>
        <w:t xml:space="preserve">como el primero que desde la articulación de gubernamentalidad </w:t>
      </w:r>
      <w:r w:rsidRPr="23F3FC12">
        <w:rPr>
          <w:lang w:eastAsia="es-ES"/>
        </w:rPr>
        <w:lastRenderedPageBreak/>
        <w:t>con la contabilidad, consideraba una sola empresa (el caso</w:t>
      </w:r>
      <w:r w:rsidR="0019663E">
        <w:rPr>
          <w:lang w:eastAsia="es-ES"/>
        </w:rPr>
        <w:t xml:space="preserve"> </w:t>
      </w:r>
      <w:r w:rsidRPr="23F3FC12">
        <w:rPr>
          <w:i/>
          <w:iCs/>
          <w:lang w:eastAsia="es-ES"/>
        </w:rPr>
        <w:t>Caterpillar</w:t>
      </w:r>
      <w:r w:rsidRPr="23F3FC12">
        <w:rPr>
          <w:lang w:eastAsia="es-ES"/>
        </w:rPr>
        <w:t>) para ejemplificar el cambio de los regímenes de trabajo personalizados a los flexibles.</w:t>
      </w:r>
    </w:p>
    <w:p w14:paraId="247920CD" w14:textId="37CC510E" w:rsidR="00634E8C" w:rsidRPr="00C47CAE" w:rsidRDefault="68675208" w:rsidP="7250D7CB">
      <w:pPr>
        <w:jc w:val="both"/>
        <w:rPr>
          <w:lang w:eastAsia="es-ES"/>
        </w:rPr>
      </w:pPr>
      <w:r w:rsidRPr="68675208">
        <w:rPr>
          <w:lang w:eastAsia="es-ES"/>
        </w:rPr>
        <w:t xml:space="preserve">También Ocampo (2018) efectúa un rastreo desde la perspectiva de la gubernamentalidad, expandiendo la búsqueda a las investigaciones desde la gestión pública. La autora selecciona 70 textos publicados entre 2002 y 2016 a partir de los cuales puede indicar temáticas, autores y vacíos de investigación desde los estudios de la gubernamentalidad. Respecto de las temáticas, destaca la gestión calculada (31 textos); el gobierno a distancia (17 textos); la modernización del gobierno (16 textos) y la contabilidad de la ciudad (6 textos). Los principales autores son Dean Neu, Cameron Graham, Eric Pezet, Ingrid </w:t>
      </w:r>
      <w:proofErr w:type="spellStart"/>
      <w:r w:rsidRPr="68675208">
        <w:rPr>
          <w:lang w:eastAsia="es-ES"/>
        </w:rPr>
        <w:t>Jeacle</w:t>
      </w:r>
      <w:proofErr w:type="spellEnd"/>
      <w:r w:rsidRPr="68675208">
        <w:rPr>
          <w:lang w:eastAsia="es-ES"/>
        </w:rPr>
        <w:t xml:space="preserve"> y Peter Miller; lo que indica redes de cooperación entre países, dentro de los cuales se evidencia a Reino Unido y Canadá. También, las revistas en las que se encuentran mayores publicaciones dan cuenta de estas redes; así en Reino Unido se localiza </w:t>
      </w:r>
      <w:r w:rsidRPr="68675208">
        <w:rPr>
          <w:i/>
          <w:iCs/>
          <w:lang w:eastAsia="es-ES"/>
        </w:rPr>
        <w:t>Accounting, Organizations and Society</w:t>
      </w:r>
      <w:r w:rsidRPr="68675208">
        <w:rPr>
          <w:lang w:eastAsia="es-ES"/>
        </w:rPr>
        <w:t>;</w:t>
      </w:r>
      <w:r w:rsidRPr="68675208">
        <w:rPr>
          <w:i/>
          <w:iCs/>
          <w:lang w:eastAsia="es-ES"/>
        </w:rPr>
        <w:t xml:space="preserve"> </w:t>
      </w:r>
      <w:proofErr w:type="spellStart"/>
      <w:r w:rsidRPr="68675208">
        <w:rPr>
          <w:i/>
          <w:iCs/>
          <w:lang w:eastAsia="es-ES"/>
        </w:rPr>
        <w:t>Financial</w:t>
      </w:r>
      <w:proofErr w:type="spellEnd"/>
      <w:r w:rsidRPr="68675208">
        <w:rPr>
          <w:i/>
          <w:iCs/>
          <w:lang w:eastAsia="es-ES"/>
        </w:rPr>
        <w:t xml:space="preserve"> Accountability &amp; Management y</w:t>
      </w:r>
      <w:r w:rsidRPr="68675208">
        <w:rPr>
          <w:lang w:eastAsia="es-ES"/>
        </w:rPr>
        <w:t xml:space="preserve"> A</w:t>
      </w:r>
      <w:r w:rsidRPr="68675208">
        <w:rPr>
          <w:i/>
          <w:iCs/>
          <w:lang w:eastAsia="es-ES"/>
        </w:rPr>
        <w:t>ccounting, Auditing &amp; Accountability Journal;</w:t>
      </w:r>
      <w:r w:rsidRPr="68675208">
        <w:rPr>
          <w:lang w:eastAsia="es-ES"/>
        </w:rPr>
        <w:t xml:space="preserve">  y en Canadá se encuentra </w:t>
      </w:r>
      <w:r w:rsidRPr="68675208">
        <w:rPr>
          <w:i/>
          <w:iCs/>
          <w:lang w:eastAsia="es-ES"/>
        </w:rPr>
        <w:t xml:space="preserve">Critical Perspectives on Accounting </w:t>
      </w:r>
      <w:r w:rsidRPr="68675208">
        <w:rPr>
          <w:lang w:eastAsia="es-ES"/>
        </w:rPr>
        <w:t>(Ocampo, 2018)</w:t>
      </w:r>
      <w:r w:rsidRPr="68675208">
        <w:rPr>
          <w:i/>
          <w:iCs/>
          <w:lang w:eastAsia="es-ES"/>
        </w:rPr>
        <w:t xml:space="preserve">. </w:t>
      </w:r>
      <w:r w:rsidRPr="68675208">
        <w:rPr>
          <w:lang w:eastAsia="es-ES"/>
        </w:rPr>
        <w:t>El principal reto de investigación, de acuerdo Ocampo (2018) se halla en entender la contabilidad de las ciudades de las economías emergentes.</w:t>
      </w:r>
    </w:p>
    <w:p w14:paraId="7FA2177D" w14:textId="6AA65CF0" w:rsidR="7250D7CB" w:rsidRPr="00C47CAE" w:rsidRDefault="68675208" w:rsidP="7335B234">
      <w:pPr>
        <w:jc w:val="both"/>
        <w:rPr>
          <w:lang w:eastAsia="es-ES"/>
        </w:rPr>
      </w:pPr>
      <w:r w:rsidRPr="68675208">
        <w:rPr>
          <w:lang w:eastAsia="es-ES"/>
        </w:rPr>
        <w:t xml:space="preserve">Rivera (2012) y </w:t>
      </w:r>
      <w:proofErr w:type="spellStart"/>
      <w:r w:rsidRPr="68675208">
        <w:rPr>
          <w:lang w:eastAsia="es-ES"/>
        </w:rPr>
        <w:t>Knights</w:t>
      </w:r>
      <w:proofErr w:type="spellEnd"/>
      <w:r w:rsidRPr="68675208">
        <w:rPr>
          <w:lang w:eastAsia="es-ES"/>
        </w:rPr>
        <w:t xml:space="preserve">, y Bloom (2018) por su parte, realizan estados del arte que pretenden ser panorámicos del uso que los investigadores contables han dado al trabajo de Foucault. En el caso de Rivera (2012), se realiza un análisis de las publicaciones desde la contabilidad y la gestión que incorporan una perspectiva foucaultiana. El autor encuentra 170 trabajos en una revisión que abarca hasta junio de 2010.  Los resultados indican que la obra más citada en los textos contables es </w:t>
      </w:r>
      <w:r w:rsidRPr="68675208">
        <w:rPr>
          <w:i/>
          <w:iCs/>
          <w:lang w:eastAsia="es-ES"/>
        </w:rPr>
        <w:t>Vigilar y castigar.</w:t>
      </w:r>
      <w:r w:rsidRPr="68675208">
        <w:rPr>
          <w:lang w:eastAsia="es-ES"/>
        </w:rPr>
        <w:t xml:space="preserve"> Respecto del origen de los autores se señala que: 99 autores son del Reino Unido, 37 autores son de EE. UU., 21 autores son de Canadá y 19 autores son de Australia. Otros países tienen cinco o menos de cinco autores. Para el análisis temático, Rivera (2012) construye una clasificación que se basa en dos categorías:  </w:t>
      </w:r>
      <w:r w:rsidRPr="68675208">
        <w:rPr>
          <w:i/>
          <w:iCs/>
          <w:lang w:eastAsia="es-ES"/>
        </w:rPr>
        <w:t>Asuntos generales sobre el poder</w:t>
      </w:r>
      <w:r w:rsidRPr="68675208">
        <w:rPr>
          <w:lang w:eastAsia="es-ES"/>
        </w:rPr>
        <w:t xml:space="preserve"> y </w:t>
      </w:r>
      <w:r w:rsidRPr="68675208">
        <w:rPr>
          <w:i/>
          <w:iCs/>
          <w:lang w:eastAsia="es-ES"/>
        </w:rPr>
        <w:t xml:space="preserve">Temas específicos del trabajo de Foucault. </w:t>
      </w:r>
      <w:r w:rsidRPr="68675208">
        <w:rPr>
          <w:lang w:eastAsia="es-ES"/>
        </w:rPr>
        <w:t xml:space="preserve">Dentro de la primera, agrupa las subcategorías: </w:t>
      </w:r>
      <w:r w:rsidRPr="68675208">
        <w:rPr>
          <w:i/>
          <w:iCs/>
          <w:lang w:eastAsia="es-ES"/>
        </w:rPr>
        <w:t xml:space="preserve">investigación sobre el trabajo de Foucault a nivel teórico general </w:t>
      </w:r>
      <w:r w:rsidRPr="68675208">
        <w:rPr>
          <w:lang w:eastAsia="es-ES"/>
        </w:rPr>
        <w:t>(30)</w:t>
      </w:r>
      <w:r w:rsidRPr="68675208">
        <w:rPr>
          <w:i/>
          <w:iCs/>
          <w:lang w:eastAsia="es-ES"/>
        </w:rPr>
        <w:t xml:space="preserve">; investigación relacionada con el poder y su entorno </w:t>
      </w:r>
      <w:r w:rsidRPr="68675208">
        <w:rPr>
          <w:lang w:eastAsia="es-ES"/>
        </w:rPr>
        <w:t>(14)</w:t>
      </w:r>
      <w:r w:rsidRPr="68675208">
        <w:rPr>
          <w:i/>
          <w:iCs/>
          <w:lang w:eastAsia="es-ES"/>
        </w:rPr>
        <w:t xml:space="preserve">; investigación relacionada con el poder en general </w:t>
      </w:r>
      <w:r w:rsidRPr="68675208">
        <w:rPr>
          <w:lang w:eastAsia="es-ES"/>
        </w:rPr>
        <w:t>(9)</w:t>
      </w:r>
      <w:r w:rsidRPr="68675208">
        <w:rPr>
          <w:i/>
          <w:iCs/>
          <w:lang w:eastAsia="es-ES"/>
        </w:rPr>
        <w:t xml:space="preserve"> e investigación relacionada con el conocimiento-poder </w:t>
      </w:r>
      <w:r w:rsidRPr="68675208">
        <w:rPr>
          <w:lang w:eastAsia="es-ES"/>
        </w:rPr>
        <w:t>(13)</w:t>
      </w:r>
      <w:r w:rsidRPr="68675208">
        <w:rPr>
          <w:i/>
          <w:iCs/>
          <w:lang w:eastAsia="es-ES"/>
        </w:rPr>
        <w:t xml:space="preserve">. </w:t>
      </w:r>
      <w:r w:rsidRPr="68675208">
        <w:rPr>
          <w:lang w:eastAsia="es-ES"/>
        </w:rPr>
        <w:t xml:space="preserve">Dentro de la segunda, integra las subcategorías: </w:t>
      </w:r>
      <w:r w:rsidRPr="68675208">
        <w:rPr>
          <w:i/>
          <w:iCs/>
          <w:lang w:eastAsia="es-ES"/>
        </w:rPr>
        <w:t xml:space="preserve">investigación relacionada con la metodología arqueológico-genealógica </w:t>
      </w:r>
      <w:r w:rsidRPr="68675208">
        <w:rPr>
          <w:lang w:eastAsia="es-ES"/>
        </w:rPr>
        <w:t>(5)</w:t>
      </w:r>
      <w:r w:rsidRPr="68675208">
        <w:rPr>
          <w:i/>
          <w:iCs/>
          <w:lang w:eastAsia="es-ES"/>
        </w:rPr>
        <w:t xml:space="preserve">; investigación relacionada con el discurso </w:t>
      </w:r>
      <w:r w:rsidRPr="68675208">
        <w:rPr>
          <w:lang w:eastAsia="es-ES"/>
        </w:rPr>
        <w:t>(26)</w:t>
      </w:r>
      <w:r w:rsidRPr="68675208">
        <w:rPr>
          <w:i/>
          <w:iCs/>
          <w:lang w:eastAsia="es-ES"/>
        </w:rPr>
        <w:t xml:space="preserve">; investigación relacionada con la disciplina </w:t>
      </w:r>
      <w:r w:rsidRPr="68675208">
        <w:rPr>
          <w:lang w:eastAsia="es-ES"/>
        </w:rPr>
        <w:t>(21)</w:t>
      </w:r>
      <w:r w:rsidRPr="68675208">
        <w:rPr>
          <w:i/>
          <w:iCs/>
          <w:lang w:eastAsia="es-ES"/>
        </w:rPr>
        <w:t xml:space="preserve">; investigación relacionada con la ética </w:t>
      </w:r>
      <w:r w:rsidRPr="68675208">
        <w:rPr>
          <w:lang w:eastAsia="es-ES"/>
        </w:rPr>
        <w:t>(21)</w:t>
      </w:r>
      <w:r w:rsidRPr="68675208">
        <w:rPr>
          <w:i/>
          <w:iCs/>
          <w:lang w:eastAsia="es-ES"/>
        </w:rPr>
        <w:t xml:space="preserve"> e investigación relacionada con la gubernamentalidad </w:t>
      </w:r>
      <w:r w:rsidRPr="68675208">
        <w:rPr>
          <w:lang w:eastAsia="es-ES"/>
        </w:rPr>
        <w:t>(29). Para Rivera (2012)  es posible plantear que existe un enfoque consolidado en la investigación contable desde la obra de Foucault, que ha sido posible por el respaldo que los autores han encontrado en AOS.</w:t>
      </w:r>
    </w:p>
    <w:p w14:paraId="7C36B622" w14:textId="0E0A0CEC" w:rsidR="68675208" w:rsidRDefault="68675208" w:rsidP="68675208">
      <w:pPr>
        <w:jc w:val="both"/>
        <w:rPr>
          <w:lang w:eastAsia="es-ES"/>
        </w:rPr>
      </w:pPr>
      <w:r w:rsidRPr="68675208">
        <w:rPr>
          <w:lang w:eastAsia="es-ES"/>
        </w:rPr>
        <w:t xml:space="preserve">Finalmente, </w:t>
      </w:r>
      <w:proofErr w:type="spellStart"/>
      <w:r w:rsidRPr="68675208">
        <w:rPr>
          <w:lang w:eastAsia="es-ES"/>
        </w:rPr>
        <w:t>Knights</w:t>
      </w:r>
      <w:proofErr w:type="spellEnd"/>
      <w:r w:rsidRPr="68675208">
        <w:rPr>
          <w:lang w:eastAsia="es-ES"/>
        </w:rPr>
        <w:t xml:space="preserve"> y Bloom (2018) </w:t>
      </w:r>
      <w:r w:rsidR="009A31F2">
        <w:rPr>
          <w:lang w:eastAsia="es-ES"/>
        </w:rPr>
        <w:t>muestran</w:t>
      </w:r>
      <w:r w:rsidRPr="68675208">
        <w:rPr>
          <w:lang w:eastAsia="es-ES"/>
        </w:rPr>
        <w:t xml:space="preserve"> como las relaciones de poder – conocimiento derivadas de la contabilidad construyen sujetos </w:t>
      </w:r>
      <w:r w:rsidRPr="0019663E">
        <w:rPr>
          <w:i/>
          <w:iCs/>
          <w:lang w:eastAsia="es-ES"/>
        </w:rPr>
        <w:t>responsables</w:t>
      </w:r>
      <w:r w:rsidRPr="68675208">
        <w:rPr>
          <w:lang w:eastAsia="es-ES"/>
        </w:rPr>
        <w:t xml:space="preserve">. Para ello realizan un </w:t>
      </w:r>
      <w:r w:rsidR="000E03F6">
        <w:rPr>
          <w:lang w:eastAsia="es-ES"/>
        </w:rPr>
        <w:t>mapeo</w:t>
      </w:r>
      <w:r w:rsidRPr="68675208">
        <w:rPr>
          <w:lang w:eastAsia="es-ES"/>
        </w:rPr>
        <w:t xml:space="preserve"> que les permite concluir que las primeras investigaciones que usaron el lente foucaultiano se basaron en aspectos arqueológicos y genealógicos</w:t>
      </w:r>
      <w:r w:rsidR="009A31F2">
        <w:rPr>
          <w:lang w:eastAsia="es-ES"/>
        </w:rPr>
        <w:t>,</w:t>
      </w:r>
      <w:r w:rsidR="000315F1">
        <w:rPr>
          <w:lang w:eastAsia="es-ES"/>
        </w:rPr>
        <w:t xml:space="preserve"> </w:t>
      </w:r>
      <w:r w:rsidRPr="68675208">
        <w:rPr>
          <w:lang w:eastAsia="es-ES"/>
        </w:rPr>
        <w:t>rastrea</w:t>
      </w:r>
      <w:r w:rsidR="009A31F2">
        <w:rPr>
          <w:lang w:eastAsia="es-ES"/>
        </w:rPr>
        <w:t>ndo</w:t>
      </w:r>
      <w:r w:rsidRPr="68675208">
        <w:rPr>
          <w:lang w:eastAsia="es-ES"/>
        </w:rPr>
        <w:t xml:space="preserve"> discursos y prácticas contables que producen una racionalidad y subjetividad particular</w:t>
      </w:r>
      <w:r w:rsidR="00962D29">
        <w:rPr>
          <w:lang w:eastAsia="es-ES"/>
        </w:rPr>
        <w:t>, como se ve en los trabajo</w:t>
      </w:r>
      <w:r w:rsidR="00213395">
        <w:rPr>
          <w:lang w:eastAsia="es-ES"/>
        </w:rPr>
        <w:t>s</w:t>
      </w:r>
      <w:r w:rsidR="00962D29">
        <w:rPr>
          <w:lang w:eastAsia="es-ES"/>
        </w:rPr>
        <w:t xml:space="preserve"> de </w:t>
      </w:r>
      <w:r w:rsidR="00962D29">
        <w:rPr>
          <w:lang w:eastAsia="es-ES"/>
        </w:rPr>
        <w:fldChar w:fldCharType="begin" w:fldLock="1"/>
      </w:r>
      <w:r w:rsidR="00517DEC">
        <w:rPr>
          <w:lang w:eastAsia="es-ES"/>
        </w:rPr>
        <w:instrText>ADDIN CSL_CITATION {"citationItems":[{"id":"ITEM-1","itemData":{"ISSN":"0361-3682","author":[{"dropping-particle":"","family":"Hopwood","given":"Anthony G","non-dropping-particle":"","parse-names":false,"suffix":""}],"container-title":"Accounting, organizations and society","id":"ITEM-1","issue":"3","issued":{"date-parts":[["1987"]]},"page":"207-234","publisher":"Elsevier","title":"The archeology of accounting systems","type":"article-journal","volume":"12"},"uris":["http://www.mendeley.com/documents/?uuid=90c412dc-c997-4d0d-bcd5-b4a971eb2a8a"]},{"id":"ITEM-2","itemData":{"ISSN":"1045-2354","author":[{"dropping-particle":"","family":"Hoskin","given":"Keith","non-dropping-particle":"","parse-names":false,"suffix":""}],"container-title":"Critical Perspectives on Accounting","id":"ITEM-2","issue":"1","issued":{"date-parts":[["1994"]]},"page":"57-85","publisher":"Elsevier","title":"Boxing clever: for, against and beyond Foucault in the battle for accounting theory","type":"article-journal","volume":"5"},"uris":["http://www.mendeley.com/documents/?uuid=b74fbf2f-3865-4b66-b7d8-01d5515e4e59"]},{"id":"ITEM-3","itemData":{"ISSN":"1045-2354","author":[{"dropping-particle":"","family":"McPhail","given":"Ken","non-dropping-particle":"","parse-names":false,"suffix":""}],"container-title":"Critical Perspectives on Accounting","id":"ITEM-3","issue":"6","issued":{"date-parts":[["1999"]]},"page":"833-866","publisher":"Elsevier","title":"The threat of ethical accountants: an application of Foucault's concept of ethics to accounting education and some thoughts on ethically educating for the other","type":"article-journal","volume":"10"},"uris":["http://www.mendeley.com/documents/?uuid=bed5b542-7332-4bb7-8f43-c76fb293da6d"]},{"id":"ITEM-4","itemData":{"ISSN":"0951-3574","author":[{"dropping-particle":"","family":"Stewart","given":"Ross E","non-dropping-particle":"","parse-names":false,"suffix":""}],"container-title":"Accounting, Auditing &amp; Accountability Journal","id":"ITEM-4","issue":"2","issued":{"date-parts":[["1992"]]},"page":"0","publisher":"Emerald Group Publishing Limited","title":"Pluralizing our past: Foucault in accounting history","type":"article-journal","volume":"5"},"uris":["http://www.mendeley.com/documents/?uuid=17066623-e70b-4300-80eb-891c91ce656f"]},{"id":"ITEM-5","itemData":{"ISSN":"1045-2354","author":[{"dropping-particle":"","family":"Neimark","given":"Marilyn Kleinberg","non-dropping-particle":"","parse-names":false,"suffix":""}],"container-title":"Critical Perspectives on Accounting","id":"ITEM-5","issue":"1","issued":{"date-parts":[["1994"]]},"page":"87-108","publisher":"Elsevier","title":"Regicide revisited: Marx, Foucault and accounting","type":"article-journal","volume":"5"},"uris":["http://www.mendeley.com/documents/?uuid=758d3c6e-40e5-4075-a267-d88af377385b"]}],"mendeley":{"formattedCitation":"(Hopwood, 1987; Hoskin, 1994; McPhail, 1999; Neimark, 1994; Stewart, 1992)","plainTextFormattedCitation":"(Hopwood, 1987; Hoskin, 1994; McPhail, 1999; Neimark, 1994; Stewart, 1992)","previouslyFormattedCitation":"(Hopwood, 1987; Hoskin, 1994; McPhail, 1999; Neimark, 1994; Stewart, 1992)"},"properties":{"noteIndex":0},"schema":"https://github.com/citation-style-language/schema/raw/master/csl-citation.json"}</w:instrText>
      </w:r>
      <w:r w:rsidR="00962D29">
        <w:rPr>
          <w:lang w:eastAsia="es-ES"/>
        </w:rPr>
        <w:fldChar w:fldCharType="separate"/>
      </w:r>
      <w:r w:rsidR="00517DEC" w:rsidRPr="00517DEC">
        <w:rPr>
          <w:noProof/>
          <w:lang w:eastAsia="es-ES"/>
        </w:rPr>
        <w:t>(Hopwood, 1987; Hoskin, 1994; McPhail, 1999; Neimark, 1994; Stewart, 1992)</w:t>
      </w:r>
      <w:r w:rsidR="00962D29">
        <w:rPr>
          <w:lang w:eastAsia="es-ES"/>
        </w:rPr>
        <w:fldChar w:fldCharType="end"/>
      </w:r>
      <w:r w:rsidRPr="68675208">
        <w:rPr>
          <w:lang w:eastAsia="es-ES"/>
        </w:rPr>
        <w:t xml:space="preserve">. De manera posterior, otros trabajos se han ocupado de indagar sobre las tecnologías disciplinarias actuales (Miller y O'Leary, 1987; </w:t>
      </w:r>
      <w:proofErr w:type="spellStart"/>
      <w:r w:rsidRPr="68675208">
        <w:rPr>
          <w:lang w:eastAsia="es-ES"/>
        </w:rPr>
        <w:t>McKinlay</w:t>
      </w:r>
      <w:proofErr w:type="spellEnd"/>
      <w:r w:rsidRPr="68675208">
        <w:rPr>
          <w:lang w:eastAsia="es-ES"/>
        </w:rPr>
        <w:t xml:space="preserve"> y Pezet, 2010).  En esos términos, los focos en la investigación contable que articula a Foucault </w:t>
      </w:r>
      <w:r w:rsidR="00A621E1" w:rsidRPr="68675208">
        <w:rPr>
          <w:lang w:eastAsia="es-ES"/>
        </w:rPr>
        <w:t>están</w:t>
      </w:r>
      <w:r w:rsidRPr="68675208">
        <w:rPr>
          <w:lang w:eastAsia="es-ES"/>
        </w:rPr>
        <w:t xml:space="preserve"> marcados por la construcción histórica de discursos y prácticas contables; el estudio de la contabilidad como poder disciplinario; y los discursos contables como racionalidad de gobierno (</w:t>
      </w:r>
      <w:proofErr w:type="spellStart"/>
      <w:r w:rsidRPr="68675208">
        <w:rPr>
          <w:lang w:eastAsia="es-ES"/>
        </w:rPr>
        <w:t>Knights</w:t>
      </w:r>
      <w:proofErr w:type="spellEnd"/>
      <w:r w:rsidRPr="68675208">
        <w:rPr>
          <w:lang w:eastAsia="es-ES"/>
        </w:rPr>
        <w:t xml:space="preserve"> y Bloom, 2018). Los autores llaman la atención respecto la importancia para los estudios contables de seguir avanzando en la comprensión de la contabilidad como un discurso que se ha establecido históricamente para la constitución del sujeto. </w:t>
      </w:r>
    </w:p>
    <w:p w14:paraId="10A45681" w14:textId="11EFB39B" w:rsidR="68675208" w:rsidRDefault="68675208" w:rsidP="00BB5444">
      <w:pPr>
        <w:pStyle w:val="Ttulo1"/>
        <w:numPr>
          <w:ilvl w:val="0"/>
          <w:numId w:val="9"/>
        </w:numPr>
        <w:rPr>
          <w:rFonts w:asciiTheme="minorHAnsi" w:hAnsiTheme="minorHAnsi" w:cstheme="minorBidi"/>
          <w:sz w:val="24"/>
          <w:szCs w:val="24"/>
          <w:lang w:eastAsia="es-ES"/>
        </w:rPr>
      </w:pPr>
      <w:bookmarkStart w:id="17" w:name="_Toc87892835"/>
      <w:r w:rsidRPr="68675208">
        <w:rPr>
          <w:rFonts w:asciiTheme="minorHAnsi" w:hAnsiTheme="minorHAnsi" w:cstheme="minorBidi"/>
          <w:sz w:val="24"/>
          <w:szCs w:val="24"/>
          <w:lang w:eastAsia="es-ES"/>
        </w:rPr>
        <w:lastRenderedPageBreak/>
        <w:t>DISCUSIÓN</w:t>
      </w:r>
      <w:bookmarkEnd w:id="15"/>
      <w:bookmarkEnd w:id="17"/>
      <w:r w:rsidRPr="68675208">
        <w:rPr>
          <w:rFonts w:asciiTheme="minorHAnsi" w:hAnsiTheme="minorHAnsi" w:cstheme="minorBidi"/>
          <w:sz w:val="24"/>
          <w:szCs w:val="24"/>
          <w:lang w:eastAsia="es-ES"/>
        </w:rPr>
        <w:t xml:space="preserve"> </w:t>
      </w:r>
    </w:p>
    <w:p w14:paraId="165F6CF7" w14:textId="6A9B5932" w:rsidR="00DD70D5" w:rsidRPr="004C174D" w:rsidRDefault="68675208" w:rsidP="68675208">
      <w:pPr>
        <w:spacing w:before="100" w:beforeAutospacing="1" w:after="100" w:afterAutospacing="1"/>
        <w:jc w:val="both"/>
      </w:pPr>
      <w:r w:rsidRPr="68675208">
        <w:t xml:space="preserve">A partir de los resultados obtenidos, puede afirmarse que existe un fuerte uso de la red teórica desarrollada por Foucault en la literatura académica contable. Podría definirse el trabajo de </w:t>
      </w:r>
      <w:r w:rsidR="00DD70D5" w:rsidRPr="68675208">
        <w:fldChar w:fldCharType="begin" w:fldLock="1"/>
      </w:r>
      <w:r w:rsidR="00A800AF">
        <w:instrText>ADDIN CSL_CITATION {"citationItems":[{"id":"ITEM-1","itemData":{"ISSN":"0361-3682","author":[{"dropping-particle":"","family":"Hopwood","given":"Anthony G","non-dropping-particle":"","parse-names":false,"suffix":""}],"container-title":"Accounting, organizations and society","id":"ITEM-1","issue":"3","issued":{"date-parts":[["1987"]]},"page":"207-234","publisher":"Elsevier","title":"The archeology of accounting systems","type":"article-journal","volume":"12"},"uris":["http://www.mendeley.com/documents/?uuid=90c412dc-c997-4d0d-bcd5-b4a971eb2a8a"]}],"mendeley":{"formattedCitation":"(Hopwood, 1987)","plainTextFormattedCitation":"(Hopwood, 1987)","previouslyFormattedCitation":"(Hopwood, 1987)"},"properties":{"noteIndex":0},"schema":"https://github.com/citation-style-language/schema/raw/master/csl-citation.json"}</w:instrText>
      </w:r>
      <w:r w:rsidR="00DD70D5" w:rsidRPr="68675208">
        <w:fldChar w:fldCharType="separate"/>
      </w:r>
      <w:r w:rsidR="00A800AF" w:rsidRPr="00A800AF">
        <w:rPr>
          <w:noProof/>
        </w:rPr>
        <w:t>(Hopwood, 1987)</w:t>
      </w:r>
      <w:r w:rsidR="00DD70D5" w:rsidRPr="68675208">
        <w:fldChar w:fldCharType="end"/>
      </w:r>
      <w:r w:rsidRPr="68675208">
        <w:t xml:space="preserve"> como seminal, a partir de ahí, las variedades en el uso y aplicación de dicho marco teórico abundan alrededor del mundo. Países como Canadá, Australia e Inglaterra concentran la producción de artículos de investigación afincados a este entramado teórico, ello puede comprenderse a partir de la centralidad de las reformas estatales en la configuración del mercado financiero a partir de 1970, también</w:t>
      </w:r>
      <w:r w:rsidR="00DD305B">
        <w:t xml:space="preserve"> se</w:t>
      </w:r>
      <w:r w:rsidRPr="68675208">
        <w:t xml:space="preserve"> explica a partir de la crisis financiera de 2008. Problemáticas como la consolidación del neoliberalismo y sus impactos en el interés público, en la nueva gestión pública y en la rendición de cuentas son ejes centrales de la discusión sobre el papel de la contabilidad en los cambios sociales y económicos.</w:t>
      </w:r>
    </w:p>
    <w:p w14:paraId="65E3EBDC" w14:textId="1115E57B" w:rsidR="00DD70D5" w:rsidRPr="004C174D" w:rsidRDefault="68675208" w:rsidP="00DD70D5">
      <w:pPr>
        <w:spacing w:before="100" w:beforeAutospacing="1" w:after="100" w:afterAutospacing="1"/>
        <w:jc w:val="both"/>
      </w:pPr>
      <w:r>
        <w:t>El contexto colombiano carece de trabajos empíricos que contrasten los resultados de estudios desarrollados en otros países, además, es necesario explorar los problemas del presente y sus relaciones con la mirada foucaultiana en contabilidad, es por ello por lo que el diálogo con pares internacionales es una necesidad inmediata.</w:t>
      </w:r>
    </w:p>
    <w:p w14:paraId="66F31933" w14:textId="64E7FF5E" w:rsidR="00DD70D5" w:rsidRPr="004C174D" w:rsidRDefault="68675208" w:rsidP="68675208">
      <w:pPr>
        <w:spacing w:before="100" w:beforeAutospacing="1" w:after="100" w:afterAutospacing="1"/>
        <w:jc w:val="both"/>
      </w:pPr>
      <w:r w:rsidRPr="68675208">
        <w:t>Algunas posibles problemáticas ligadas a la lógica del capitalismo financiarizado, por abordar desde la mirada foucaultiana en contabilidad, se encuentran en las nuevas formas de contratación financiera, las innovaciones en los medios de pago, la focalización crediticia en el primer mundo, la estructuración patrimonial de las nuevas formas organizativas, la relación entre servicios financieros y desarrollo tecnológico-digital, los medios de comunicación y su vínculo con el mundo financiero, el refinamiento de los productos financieros y su impacto en el plano productivo y estatal. También siguen pendientes mayores indagaciones respecto</w:t>
      </w:r>
      <w:r w:rsidR="00F01C8F">
        <w:t xml:space="preserve"> a</w:t>
      </w:r>
      <w:r w:rsidRPr="68675208">
        <w:t xml:space="preserve">l papel de la contabilidad en los procesos de subjetivación que se gestan al interior de las organizaciones y </w:t>
      </w:r>
      <w:r w:rsidR="00F70BC9">
        <w:t>la ciudadanía</w:t>
      </w:r>
      <w:r w:rsidRPr="68675208">
        <w:t xml:space="preserve"> en contextos de hibridaje cultural como los latinoamericanos.</w:t>
      </w:r>
    </w:p>
    <w:p w14:paraId="363D97C1" w14:textId="3AF30B21" w:rsidR="68675208" w:rsidRDefault="68675208" w:rsidP="68675208">
      <w:pPr>
        <w:spacing w:beforeAutospacing="1" w:afterAutospacing="1"/>
        <w:jc w:val="both"/>
      </w:pPr>
      <w:r w:rsidRPr="68675208">
        <w:t xml:space="preserve">En definitiva, el marco teórico foucaultiano </w:t>
      </w:r>
      <w:r w:rsidR="00AA7D4A">
        <w:t>proporciona</w:t>
      </w:r>
      <w:r w:rsidRPr="68675208">
        <w:t xml:space="preserve"> una herramienta de análisis para los estudios en contabilidad desde su comprensión como una práctica social</w:t>
      </w:r>
      <w:r w:rsidR="00C10472">
        <w:t>;</w:t>
      </w:r>
      <w:r w:rsidR="00F40B22">
        <w:t xml:space="preserve"> no obstante, l</w:t>
      </w:r>
      <w:r w:rsidRPr="68675208">
        <w:t>a dificultad de contrastar empíricamente las categorías</w:t>
      </w:r>
      <w:r w:rsidR="006322FB">
        <w:t xml:space="preserve"> </w:t>
      </w:r>
      <w:r w:rsidR="00E24E4E">
        <w:t>sigue siendo problemátic</w:t>
      </w:r>
      <w:r w:rsidR="00F40B22">
        <w:t>a</w:t>
      </w:r>
      <w:r w:rsidR="00E24E4E">
        <w:t xml:space="preserve">, por ejemplo, el </w:t>
      </w:r>
      <w:r w:rsidR="006322FB">
        <w:t>acceso a informantes clave. También es muy restringida la posibilidad de hacer observación o de acceder a documentos en las organizaciones privadas</w:t>
      </w:r>
      <w:r w:rsidRPr="68675208">
        <w:t>, por ello, es menester de los nuevos investigadores contables que desarrollan una mirada crítica, el desarrollo de trabajos que impliquen una mirada contextual, comprometida y coherente con un marco de probada utilidad en el campo contable.</w:t>
      </w:r>
    </w:p>
    <w:p w14:paraId="1D0588D5" w14:textId="04F1B8DD" w:rsidR="68675208" w:rsidRPr="00117623" w:rsidRDefault="68675208" w:rsidP="68675208">
      <w:pPr>
        <w:pStyle w:val="Ttulo1"/>
        <w:numPr>
          <w:ilvl w:val="0"/>
          <w:numId w:val="9"/>
        </w:numPr>
        <w:rPr>
          <w:rFonts w:asciiTheme="minorHAnsi" w:hAnsiTheme="minorHAnsi" w:cstheme="minorBidi"/>
          <w:sz w:val="24"/>
          <w:szCs w:val="24"/>
          <w:lang w:eastAsia="es-ES"/>
        </w:rPr>
      </w:pPr>
      <w:bookmarkStart w:id="18" w:name="_Toc87892836"/>
      <w:r w:rsidRPr="68675208">
        <w:rPr>
          <w:rFonts w:asciiTheme="minorHAnsi" w:hAnsiTheme="minorHAnsi" w:cstheme="minorBidi"/>
          <w:sz w:val="24"/>
          <w:szCs w:val="24"/>
          <w:lang w:eastAsia="es-ES"/>
        </w:rPr>
        <w:t>LIMITACIONES Y FUTURAS LÍNEAS DE TRABAJO</w:t>
      </w:r>
      <w:bookmarkEnd w:id="18"/>
    </w:p>
    <w:p w14:paraId="0CAA6E6E" w14:textId="7E31AFE4" w:rsidR="00DB0630" w:rsidRPr="0029266C" w:rsidRDefault="68675208" w:rsidP="0001713E">
      <w:pPr>
        <w:jc w:val="both"/>
        <w:rPr>
          <w:lang w:eastAsia="es-ES"/>
        </w:rPr>
      </w:pPr>
      <w:r w:rsidRPr="68675208">
        <w:rPr>
          <w:lang w:eastAsia="es-ES"/>
        </w:rPr>
        <w:t xml:space="preserve">Desde </w:t>
      </w:r>
      <w:r w:rsidR="0001713E">
        <w:rPr>
          <w:lang w:eastAsia="es-ES"/>
        </w:rPr>
        <w:t>la</w:t>
      </w:r>
      <w:r w:rsidR="008003DA">
        <w:rPr>
          <w:lang w:eastAsia="es-ES"/>
        </w:rPr>
        <w:t xml:space="preserve"> </w:t>
      </w:r>
      <w:proofErr w:type="spellStart"/>
      <w:r w:rsidR="008003DA">
        <w:rPr>
          <w:lang w:eastAsia="es-ES"/>
        </w:rPr>
        <w:t>S</w:t>
      </w:r>
      <w:r w:rsidR="00B33383" w:rsidRPr="0001713E">
        <w:rPr>
          <w:i/>
          <w:iCs/>
          <w:lang w:eastAsia="es-ES"/>
        </w:rPr>
        <w:t>coping</w:t>
      </w:r>
      <w:proofErr w:type="spellEnd"/>
      <w:r w:rsidR="00B33383" w:rsidRPr="0001713E">
        <w:rPr>
          <w:i/>
          <w:iCs/>
          <w:lang w:eastAsia="es-ES"/>
        </w:rPr>
        <w:t xml:space="preserve"> </w:t>
      </w:r>
      <w:proofErr w:type="spellStart"/>
      <w:r w:rsidR="00B33383" w:rsidRPr="0001713E">
        <w:rPr>
          <w:i/>
          <w:iCs/>
          <w:lang w:eastAsia="es-ES"/>
        </w:rPr>
        <w:t>review</w:t>
      </w:r>
      <w:proofErr w:type="spellEnd"/>
      <w:r w:rsidR="00B33383">
        <w:rPr>
          <w:lang w:eastAsia="es-ES"/>
        </w:rPr>
        <w:t xml:space="preserve"> </w:t>
      </w:r>
      <w:r w:rsidR="0001713E" w:rsidRPr="68675208">
        <w:rPr>
          <w:lang w:eastAsia="es-ES"/>
        </w:rPr>
        <w:t>efectuad</w:t>
      </w:r>
      <w:r w:rsidR="0001713E">
        <w:rPr>
          <w:lang w:eastAsia="es-ES"/>
        </w:rPr>
        <w:t>a</w:t>
      </w:r>
      <w:r w:rsidR="0001713E" w:rsidRPr="68675208">
        <w:rPr>
          <w:lang w:eastAsia="es-ES"/>
        </w:rPr>
        <w:t xml:space="preserve"> </w:t>
      </w:r>
      <w:r w:rsidRPr="68675208">
        <w:rPr>
          <w:lang w:eastAsia="es-ES"/>
        </w:rPr>
        <w:t>en este documento puede establecerse una taxonomí</w:t>
      </w:r>
      <w:r w:rsidR="0014219C">
        <w:rPr>
          <w:lang w:eastAsia="es-ES"/>
        </w:rPr>
        <w:t xml:space="preserve">a, como se muestra en la Tabla 8, </w:t>
      </w:r>
      <w:r w:rsidRPr="68675208">
        <w:rPr>
          <w:lang w:eastAsia="es-ES"/>
        </w:rPr>
        <w:t>que posibilita efectuar futuras revisiones sistemáticas distinguiendo el momento o la rejilla de análisis que los autores toman de la obra de Michel Foucault.</w:t>
      </w:r>
    </w:p>
    <w:p w14:paraId="0FDA319E" w14:textId="2A3157B3" w:rsidR="00DB0630" w:rsidRPr="0014219C" w:rsidRDefault="68675208" w:rsidP="0014219C">
      <w:pPr>
        <w:spacing w:after="0"/>
        <w:rPr>
          <w:i/>
          <w:iCs/>
          <w:lang w:eastAsia="es-ES"/>
        </w:rPr>
      </w:pPr>
      <w:r w:rsidRPr="0014219C">
        <w:rPr>
          <w:i/>
          <w:iCs/>
          <w:lang w:eastAsia="es-ES"/>
        </w:rPr>
        <w:t xml:space="preserve">Tabla </w:t>
      </w:r>
      <w:r w:rsidR="0014219C" w:rsidRPr="0014219C">
        <w:rPr>
          <w:i/>
          <w:iCs/>
          <w:lang w:eastAsia="es-ES"/>
        </w:rPr>
        <w:t>8</w:t>
      </w:r>
      <w:r w:rsidR="00FD46E6">
        <w:rPr>
          <w:i/>
          <w:iCs/>
          <w:lang w:eastAsia="es-ES"/>
        </w:rPr>
        <w:t>.</w:t>
      </w:r>
      <w:r w:rsidR="0014219C" w:rsidRPr="0014219C">
        <w:rPr>
          <w:i/>
          <w:iCs/>
          <w:lang w:eastAsia="es-ES"/>
        </w:rPr>
        <w:t xml:space="preserve"> Categorías de análisis</w:t>
      </w:r>
      <w:r w:rsidR="0014219C">
        <w:rPr>
          <w:i/>
          <w:iCs/>
          <w:lang w:eastAsia="es-ES"/>
        </w:rPr>
        <w:t xml:space="preserve"> emergidas del corpus</w:t>
      </w:r>
    </w:p>
    <w:tbl>
      <w:tblPr>
        <w:tblStyle w:val="Tablanormal2"/>
        <w:tblW w:w="0" w:type="auto"/>
        <w:jc w:val="center"/>
        <w:tblLayout w:type="fixed"/>
        <w:tblLook w:val="04A0" w:firstRow="1" w:lastRow="0" w:firstColumn="1" w:lastColumn="0" w:noHBand="0" w:noVBand="1"/>
      </w:tblPr>
      <w:tblGrid>
        <w:gridCol w:w="3453"/>
        <w:gridCol w:w="2738"/>
      </w:tblGrid>
      <w:tr w:rsidR="68675208" w:rsidRPr="00E03420" w14:paraId="0EE2ACE6" w14:textId="77777777" w:rsidTr="00E0342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453" w:type="dxa"/>
          </w:tcPr>
          <w:p w14:paraId="0453526D" w14:textId="19C2CCD4" w:rsidR="68675208" w:rsidRPr="00E03420" w:rsidRDefault="68675208" w:rsidP="68675208">
            <w:pPr>
              <w:spacing w:line="259" w:lineRule="auto"/>
              <w:ind w:firstLine="284"/>
              <w:jc w:val="center"/>
              <w:rPr>
                <w:rFonts w:eastAsiaTheme="minorEastAsia"/>
                <w:b w:val="0"/>
                <w:bCs w:val="0"/>
                <w:color w:val="000000" w:themeColor="text1"/>
                <w:sz w:val="20"/>
                <w:szCs w:val="20"/>
              </w:rPr>
            </w:pPr>
            <w:r w:rsidRPr="00E03420">
              <w:rPr>
                <w:rFonts w:eastAsiaTheme="minorEastAsia"/>
                <w:b w:val="0"/>
                <w:bCs w:val="0"/>
                <w:color w:val="000000" w:themeColor="text1"/>
                <w:sz w:val="20"/>
                <w:szCs w:val="20"/>
              </w:rPr>
              <w:t>Categorías</w:t>
            </w:r>
          </w:p>
        </w:tc>
        <w:tc>
          <w:tcPr>
            <w:tcW w:w="2738" w:type="dxa"/>
          </w:tcPr>
          <w:p w14:paraId="1C86AFDA" w14:textId="4F5DA4D2" w:rsidR="68675208" w:rsidRPr="00E03420" w:rsidRDefault="68675208" w:rsidP="68675208">
            <w:pPr>
              <w:spacing w:line="259" w:lineRule="auto"/>
              <w:ind w:firstLine="284"/>
              <w:jc w:val="center"/>
              <w:cnfStyle w:val="100000000000" w:firstRow="1"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E03420">
              <w:rPr>
                <w:rFonts w:eastAsiaTheme="minorEastAsia"/>
                <w:b w:val="0"/>
                <w:bCs w:val="0"/>
                <w:color w:val="000000" w:themeColor="text1"/>
                <w:sz w:val="20"/>
                <w:szCs w:val="20"/>
              </w:rPr>
              <w:t>Subcategorías</w:t>
            </w:r>
          </w:p>
        </w:tc>
      </w:tr>
      <w:tr w:rsidR="68675208" w:rsidRPr="00E03420" w14:paraId="28C7FB12" w14:textId="77777777" w:rsidTr="00E03420">
        <w:trPr>
          <w:cnfStyle w:val="000000100000" w:firstRow="0" w:lastRow="0" w:firstColumn="0" w:lastColumn="0" w:oddVBand="0" w:evenVBand="0" w:oddHBand="1"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3453" w:type="dxa"/>
          </w:tcPr>
          <w:p w14:paraId="15E46E5A" w14:textId="0F152296" w:rsidR="68675208" w:rsidRPr="00E03420" w:rsidRDefault="68675208" w:rsidP="68675208">
            <w:pPr>
              <w:ind w:firstLine="284"/>
              <w:rPr>
                <w:rFonts w:eastAsiaTheme="minorEastAsia"/>
                <w:b w:val="0"/>
                <w:bCs w:val="0"/>
                <w:color w:val="000000" w:themeColor="text1"/>
                <w:sz w:val="20"/>
                <w:szCs w:val="20"/>
              </w:rPr>
            </w:pPr>
            <w:r w:rsidRPr="00E03420">
              <w:rPr>
                <w:rFonts w:eastAsiaTheme="minorEastAsia"/>
                <w:b w:val="0"/>
                <w:bCs w:val="0"/>
                <w:color w:val="000000" w:themeColor="text1"/>
                <w:sz w:val="20"/>
                <w:szCs w:val="20"/>
              </w:rPr>
              <w:t>Poder en general</w:t>
            </w:r>
          </w:p>
        </w:tc>
        <w:tc>
          <w:tcPr>
            <w:tcW w:w="2738" w:type="dxa"/>
          </w:tcPr>
          <w:p w14:paraId="255F2008" w14:textId="7583FD90" w:rsidR="68675208" w:rsidRPr="00E03420" w:rsidRDefault="00F20BAC" w:rsidP="68675208">
            <w:pP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E03420">
              <w:rPr>
                <w:rFonts w:eastAsiaTheme="minorEastAsia"/>
                <w:sz w:val="20"/>
                <w:szCs w:val="20"/>
              </w:rPr>
              <w:t>Control a distancia</w:t>
            </w:r>
          </w:p>
        </w:tc>
      </w:tr>
      <w:tr w:rsidR="68675208" w:rsidRPr="00E03420" w14:paraId="459328C7" w14:textId="77777777" w:rsidTr="00E03420">
        <w:trPr>
          <w:trHeight w:val="269"/>
          <w:jc w:val="center"/>
        </w:trPr>
        <w:tc>
          <w:tcPr>
            <w:cnfStyle w:val="001000000000" w:firstRow="0" w:lastRow="0" w:firstColumn="1" w:lastColumn="0" w:oddVBand="0" w:evenVBand="0" w:oddHBand="0" w:evenHBand="0" w:firstRowFirstColumn="0" w:firstRowLastColumn="0" w:lastRowFirstColumn="0" w:lastRowLastColumn="0"/>
            <w:tcW w:w="3453" w:type="dxa"/>
          </w:tcPr>
          <w:p w14:paraId="5CF15F14" w14:textId="378DEC7B" w:rsidR="68675208" w:rsidRPr="00E03420" w:rsidRDefault="68675208" w:rsidP="68675208">
            <w:pPr>
              <w:ind w:firstLine="284"/>
              <w:rPr>
                <w:rFonts w:eastAsiaTheme="minorEastAsia"/>
                <w:b w:val="0"/>
                <w:bCs w:val="0"/>
                <w:color w:val="000000" w:themeColor="text1"/>
                <w:sz w:val="20"/>
                <w:szCs w:val="20"/>
              </w:rPr>
            </w:pPr>
            <w:r w:rsidRPr="00E03420">
              <w:rPr>
                <w:rFonts w:eastAsiaTheme="minorEastAsia"/>
                <w:b w:val="0"/>
                <w:bCs w:val="0"/>
                <w:color w:val="000000" w:themeColor="text1"/>
                <w:sz w:val="20"/>
                <w:szCs w:val="20"/>
              </w:rPr>
              <w:t>Relaciones de saber-poder</w:t>
            </w:r>
          </w:p>
        </w:tc>
        <w:tc>
          <w:tcPr>
            <w:tcW w:w="2738" w:type="dxa"/>
          </w:tcPr>
          <w:p w14:paraId="255D51ED" w14:textId="08534C40" w:rsidR="68675208" w:rsidRPr="00E03420" w:rsidRDefault="00F20BAC" w:rsidP="68675208">
            <w:pP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E03420">
              <w:rPr>
                <w:rFonts w:eastAsiaTheme="minorEastAsia"/>
                <w:sz w:val="20"/>
                <w:szCs w:val="20"/>
              </w:rPr>
              <w:t>Régimen de visibilidad</w:t>
            </w:r>
          </w:p>
        </w:tc>
      </w:tr>
      <w:tr w:rsidR="68675208" w:rsidRPr="00E03420" w14:paraId="631D531C" w14:textId="77777777" w:rsidTr="00E0342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3453" w:type="dxa"/>
            <w:vMerge w:val="restart"/>
          </w:tcPr>
          <w:p w14:paraId="3C35B5CF" w14:textId="046E11DA" w:rsidR="68675208" w:rsidRPr="00E03420" w:rsidRDefault="68675208" w:rsidP="68675208">
            <w:pPr>
              <w:ind w:firstLine="284"/>
              <w:rPr>
                <w:rFonts w:eastAsiaTheme="minorEastAsia"/>
                <w:b w:val="0"/>
                <w:bCs w:val="0"/>
                <w:color w:val="000000" w:themeColor="text1"/>
                <w:sz w:val="20"/>
                <w:szCs w:val="20"/>
              </w:rPr>
            </w:pPr>
            <w:proofErr w:type="spellStart"/>
            <w:r w:rsidRPr="00E03420">
              <w:rPr>
                <w:rFonts w:eastAsiaTheme="minorEastAsia"/>
                <w:b w:val="0"/>
                <w:bCs w:val="0"/>
                <w:color w:val="000000" w:themeColor="text1"/>
                <w:sz w:val="20"/>
                <w:szCs w:val="20"/>
              </w:rPr>
              <w:t>Gubernamentabilidad</w:t>
            </w:r>
            <w:proofErr w:type="spellEnd"/>
          </w:p>
        </w:tc>
        <w:tc>
          <w:tcPr>
            <w:tcW w:w="2738" w:type="dxa"/>
          </w:tcPr>
          <w:p w14:paraId="756DD0D2" w14:textId="7432B432" w:rsidR="68675208" w:rsidRPr="00E03420" w:rsidRDefault="68675208" w:rsidP="009C011B">
            <w:pPr>
              <w:cnfStyle w:val="000000100000" w:firstRow="0" w:lastRow="0" w:firstColumn="0" w:lastColumn="0" w:oddVBand="0" w:evenVBand="0" w:oddHBand="1" w:evenHBand="0" w:firstRowFirstColumn="0" w:firstRowLastColumn="0" w:lastRowFirstColumn="0" w:lastRowLastColumn="0"/>
              <w:rPr>
                <w:rFonts w:eastAsiaTheme="minorEastAsia"/>
                <w:color w:val="000000" w:themeColor="text1"/>
                <w:sz w:val="20"/>
                <w:szCs w:val="20"/>
              </w:rPr>
            </w:pPr>
            <w:r w:rsidRPr="00E03420">
              <w:rPr>
                <w:rFonts w:eastAsiaTheme="minorEastAsia"/>
                <w:color w:val="000000" w:themeColor="text1"/>
                <w:sz w:val="20"/>
                <w:szCs w:val="20"/>
              </w:rPr>
              <w:t>Gobierno de los Otros</w:t>
            </w:r>
          </w:p>
        </w:tc>
      </w:tr>
      <w:tr w:rsidR="68675208" w:rsidRPr="00E03420" w14:paraId="7857F9BD" w14:textId="77777777" w:rsidTr="00E03420">
        <w:trPr>
          <w:trHeight w:val="269"/>
          <w:jc w:val="center"/>
        </w:trPr>
        <w:tc>
          <w:tcPr>
            <w:cnfStyle w:val="001000000000" w:firstRow="0" w:lastRow="0" w:firstColumn="1" w:lastColumn="0" w:oddVBand="0" w:evenVBand="0" w:oddHBand="0" w:evenHBand="0" w:firstRowFirstColumn="0" w:firstRowLastColumn="0" w:lastRowFirstColumn="0" w:lastRowLastColumn="0"/>
            <w:tcW w:w="3453" w:type="dxa"/>
            <w:vMerge/>
          </w:tcPr>
          <w:p w14:paraId="2F59F9A5" w14:textId="77777777" w:rsidR="00ED35ED" w:rsidRPr="00E03420" w:rsidRDefault="00ED35ED">
            <w:pPr>
              <w:rPr>
                <w:sz w:val="20"/>
                <w:szCs w:val="20"/>
              </w:rPr>
            </w:pPr>
          </w:p>
        </w:tc>
        <w:tc>
          <w:tcPr>
            <w:tcW w:w="2738" w:type="dxa"/>
          </w:tcPr>
          <w:p w14:paraId="4DFFFD7C" w14:textId="0DDAF953" w:rsidR="68675208" w:rsidRPr="00E03420" w:rsidRDefault="68675208" w:rsidP="68675208">
            <w:pPr>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20"/>
                <w:szCs w:val="20"/>
              </w:rPr>
            </w:pPr>
            <w:r w:rsidRPr="00E03420">
              <w:rPr>
                <w:rFonts w:eastAsiaTheme="minorEastAsia"/>
                <w:color w:val="000000" w:themeColor="text1"/>
                <w:sz w:val="20"/>
                <w:szCs w:val="20"/>
              </w:rPr>
              <w:t>Gobierno de sí</w:t>
            </w:r>
          </w:p>
        </w:tc>
      </w:tr>
    </w:tbl>
    <w:p w14:paraId="23599990" w14:textId="47E59E00" w:rsidR="00DB0630" w:rsidRPr="0029266C" w:rsidRDefault="68675208" w:rsidP="00C444A5">
      <w:r>
        <w:t>Fuente: Elaboración propia</w:t>
      </w:r>
      <w:r w:rsidR="0014219C">
        <w:t>.</w:t>
      </w:r>
    </w:p>
    <w:p w14:paraId="03B36234" w14:textId="657A472A" w:rsidR="009C011B" w:rsidRDefault="23F3FC12" w:rsidP="68675208">
      <w:pPr>
        <w:jc w:val="both"/>
        <w:rPr>
          <w:lang w:eastAsia="es-ES"/>
        </w:rPr>
      </w:pPr>
      <w:r w:rsidRPr="23F3FC12">
        <w:rPr>
          <w:lang w:eastAsia="es-ES"/>
        </w:rPr>
        <w:lastRenderedPageBreak/>
        <w:t>Los trabajos que se agrupen en la categoría de</w:t>
      </w:r>
      <w:r w:rsidRPr="23F3FC12">
        <w:rPr>
          <w:i/>
          <w:iCs/>
          <w:lang w:eastAsia="es-ES"/>
        </w:rPr>
        <w:t xml:space="preserve"> poder en general</w:t>
      </w:r>
      <w:r w:rsidRPr="23F3FC12">
        <w:rPr>
          <w:lang w:eastAsia="es-ES"/>
        </w:rPr>
        <w:t xml:space="preserve"> pueden analizar los mecanismos mediante los cuales se piensa que la contabilidad opera como una forma de poder. Los que es posible incluir en la categoría de </w:t>
      </w:r>
      <w:r w:rsidRPr="23F3FC12">
        <w:rPr>
          <w:i/>
          <w:iCs/>
          <w:lang w:eastAsia="es-ES"/>
        </w:rPr>
        <w:t>relaciones de saber - poder</w:t>
      </w:r>
      <w:r w:rsidRPr="23F3FC12">
        <w:rPr>
          <w:lang w:eastAsia="es-ES"/>
        </w:rPr>
        <w:t xml:space="preserve"> son los que utilizan como eje de análisis las relaciones de saber – poder planteadas por Foucault. Para Foucault las cuestiones que giran en torno al saber y al poder están relacionadas con el “estatuto político de la ciencia y las funciones ideológicas que ella podría vehicular”</w:t>
      </w:r>
      <w:r w:rsidR="005C3D7E">
        <w:rPr>
          <w:lang w:eastAsia="es-ES"/>
        </w:rPr>
        <w:t xml:space="preserve"> </w:t>
      </w:r>
      <w:r w:rsidR="0019663E">
        <w:rPr>
          <w:lang w:eastAsia="es-ES"/>
        </w:rPr>
        <w:fldChar w:fldCharType="begin" w:fldLock="1"/>
      </w:r>
      <w:r w:rsidR="0019663E">
        <w:rPr>
          <w:lang w:eastAsia="es-ES"/>
        </w:rPr>
        <w:instrText>ADDIN CSL_CITATION {"citationItems":[{"id":"ITEM-1","itemData":{"author":[{"dropping-particle":"","family":"Foucault","given":"M","non-dropping-particle":"","parse-names":false,"suffix":""}],"collection-title":"GENEALOGIA DEL PODER","id":"ITEM-1","issued":{"date-parts":[["1978"]]},"publisher":"Ediciones de la Piqueta","title":"Microfísica del poder","type":"book"},"locator":"175","uris":["http://www.mendeley.com/documents/?uuid=e1d1b6ad-4e53-43de-9682-658285cc5dd5"]}],"mendeley":{"formattedCitation":"(Foucault, 1978, p. 175)","plainTextFormattedCitation":"(Foucault, 1978, p. 175)"},"properties":{"noteIndex":0},"schema":"https://github.com/citation-style-language/schema/raw/master/csl-citation.json"}</w:instrText>
      </w:r>
      <w:r w:rsidR="0019663E">
        <w:rPr>
          <w:lang w:eastAsia="es-ES"/>
        </w:rPr>
        <w:fldChar w:fldCharType="separate"/>
      </w:r>
      <w:r w:rsidR="0019663E" w:rsidRPr="0019663E">
        <w:rPr>
          <w:noProof/>
          <w:lang w:eastAsia="es-ES"/>
        </w:rPr>
        <w:t>(Foucault, 1978, p. 175)</w:t>
      </w:r>
      <w:r w:rsidR="0019663E">
        <w:rPr>
          <w:lang w:eastAsia="es-ES"/>
        </w:rPr>
        <w:fldChar w:fldCharType="end"/>
      </w:r>
      <w:r w:rsidRPr="23F3FC12">
        <w:rPr>
          <w:lang w:eastAsia="es-ES"/>
        </w:rPr>
        <w:t xml:space="preserve"> </w:t>
      </w:r>
      <w:r w:rsidR="005C3D7E">
        <w:rPr>
          <w:lang w:eastAsia="es-ES"/>
        </w:rPr>
        <w:t>.</w:t>
      </w:r>
      <w:r w:rsidRPr="23F3FC12">
        <w:rPr>
          <w:lang w:eastAsia="es-ES"/>
        </w:rPr>
        <w:t xml:space="preserve">En esos términos, no es posible pensar el saber sin el poder, o este último sin aquel. El poder forma saber, produce discursos, configura un régimen de verdad. Finalmente, aquellos que responden a la categoría de </w:t>
      </w:r>
      <w:r w:rsidRPr="23F3FC12">
        <w:rPr>
          <w:i/>
          <w:iCs/>
          <w:lang w:eastAsia="es-ES"/>
        </w:rPr>
        <w:t xml:space="preserve">gubernamentalidad </w:t>
      </w:r>
      <w:r w:rsidRPr="23F3FC12">
        <w:rPr>
          <w:lang w:eastAsia="es-ES"/>
        </w:rPr>
        <w:t xml:space="preserve">son los que articulan este enfoque teórico conceptual para entender en el neoliberalismo interviene el poder sobre los intereses, deseos y aspiraciones, más que, sobre los derechos y obligaciones de los sujetos. Así, no marca directamente al cuerpo, como poder soberano, o incluso recorta acciones, como poder disciplinario; más bien, actúa sobre las condiciones de las acciones </w:t>
      </w:r>
      <w:r w:rsidR="00E03420">
        <w:rPr>
          <w:lang w:eastAsia="es-ES"/>
        </w:rPr>
        <w:fldChar w:fldCharType="begin" w:fldLock="1"/>
      </w:r>
      <w:r w:rsidR="00962D29">
        <w:rPr>
          <w:lang w:eastAsia="es-ES"/>
        </w:rPr>
        <w:instrText>ADDIN CSL_CITATION {"citationItems":[{"id":"ITEM-1","itemData":{"DOI":"10.22439/FS.V0I13.3505","ISSN":"1832-5203","abstract":"This paper examines the ”subject of retirement,” one of the most intimate governmental technologies of our present.  It extends Read’s argument regarding Foucault’s views on neoliberalism,  by providing explicit examples of the technologies of neoliberal government.  Read drew attention to the intensification of governmentality by which neoliberalism has operated, and its pervasion into every aspect of society as the individual-as-citizen is transformed into the individual-as-entrepreneur.  By examining the Canadian retirement income system, this paper provides a specific example of accounting as a tool of governmentality, a technology integral to neoliberalism’s regime of truth and its production of subjectivity.","author":[{"dropping-particle":"","family":"Graham","given":"Cameron","non-dropping-particle":"","parse-names":false,"suffix":""}],"container-title":"Foucault Studies","id":"ITEM-1","issue":"13","issued":{"date-parts":[["2012","4","24"]]},"page":"25-39","publisher":"Copenhagen Business School, Department of International Business Communication","title":"The Subject of Retirement","type":"article-journal"},"uris":["http://www.mendeley.com/documents/?uuid=982d0e29-aa30-333b-8e9a-77bd4f1dacfd"]}],"mendeley":{"formattedCitation":"(Graham, 2012)","plainTextFormattedCitation":"(Graham, 2012)","previouslyFormattedCitation":"(Graham, 2012)"},"properties":{"noteIndex":0},"schema":"https://github.com/citation-style-language/schema/raw/master/csl-citation.json"}</w:instrText>
      </w:r>
      <w:r w:rsidR="00E03420">
        <w:rPr>
          <w:lang w:eastAsia="es-ES"/>
        </w:rPr>
        <w:fldChar w:fldCharType="separate"/>
      </w:r>
      <w:r w:rsidR="00E03420" w:rsidRPr="00E03420">
        <w:rPr>
          <w:noProof/>
          <w:lang w:eastAsia="es-ES"/>
        </w:rPr>
        <w:t>(Graham, 2012)</w:t>
      </w:r>
      <w:r w:rsidR="00E03420">
        <w:rPr>
          <w:lang w:eastAsia="es-ES"/>
        </w:rPr>
        <w:fldChar w:fldCharType="end"/>
      </w:r>
      <w:r w:rsidR="00E03420">
        <w:rPr>
          <w:lang w:eastAsia="es-ES"/>
        </w:rPr>
        <w:t>.</w:t>
      </w:r>
    </w:p>
    <w:p w14:paraId="232EE4C7" w14:textId="2449A5B9" w:rsidR="00DB0630" w:rsidRPr="0029266C" w:rsidRDefault="68675208" w:rsidP="68675208">
      <w:pPr>
        <w:jc w:val="both"/>
        <w:rPr>
          <w:lang w:eastAsia="es-ES"/>
        </w:rPr>
      </w:pPr>
      <w:r w:rsidRPr="68675208">
        <w:rPr>
          <w:lang w:eastAsia="es-ES"/>
        </w:rPr>
        <w:t>En palabras de Ocampo (2018) la gubernamentalidad se define como aquel poder- gobierno que permite orientar la conducta política y moral de las personas hacia los objetivos del modelo neoliberal, a la vez que se proyecta como una racionalidad que en las prácticas de subjetivación propone a la población formas de gobierno sobre sí mismos. Dada esta doble dimensión de la gubernamentalidad que observa sus formas de gobierno como una relación entre sujetos o como relación consigo mismo (Ocampo, 2018 citando a Castro, 2007), por lo cual, en la presentación de los trabajos de esta categoría pueden emplearse dos enfoques</w:t>
      </w:r>
      <w:r w:rsidR="00FF14D4">
        <w:rPr>
          <w:lang w:eastAsia="es-ES"/>
        </w:rPr>
        <w:t>:</w:t>
      </w:r>
      <w:r w:rsidRPr="68675208">
        <w:rPr>
          <w:lang w:eastAsia="es-ES"/>
        </w:rPr>
        <w:t xml:space="preserve"> e</w:t>
      </w:r>
      <w:r w:rsidRPr="68675208">
        <w:rPr>
          <w:i/>
          <w:iCs/>
          <w:lang w:eastAsia="es-ES"/>
        </w:rPr>
        <w:t>l gobierno de los otros</w:t>
      </w:r>
      <w:r w:rsidRPr="68675208">
        <w:rPr>
          <w:lang w:eastAsia="es-ES"/>
        </w:rPr>
        <w:t xml:space="preserve"> y </w:t>
      </w:r>
      <w:r w:rsidRPr="68675208">
        <w:rPr>
          <w:i/>
          <w:iCs/>
          <w:lang w:eastAsia="es-ES"/>
        </w:rPr>
        <w:t>el gobierno de sí.</w:t>
      </w:r>
    </w:p>
    <w:p w14:paraId="0B81B7CB" w14:textId="65C3C80D" w:rsidR="00DB0630" w:rsidRPr="0029266C" w:rsidRDefault="68675208" w:rsidP="68675208">
      <w:pPr>
        <w:jc w:val="both"/>
        <w:rPr>
          <w:lang w:eastAsia="es-ES"/>
        </w:rPr>
      </w:pPr>
      <w:r w:rsidRPr="68675208">
        <w:rPr>
          <w:lang w:eastAsia="es-ES"/>
        </w:rPr>
        <w:t xml:space="preserve">También es posible pensar una red </w:t>
      </w:r>
      <w:r w:rsidR="00A621E1" w:rsidRPr="68675208">
        <w:rPr>
          <w:lang w:eastAsia="es-ES"/>
        </w:rPr>
        <w:t>teórico</w:t>
      </w:r>
      <w:r w:rsidRPr="68675208">
        <w:rPr>
          <w:lang w:eastAsia="es-ES"/>
        </w:rPr>
        <w:t xml:space="preserve">- conceptual – metodológica para pensar un Foucault para la contabilidad más allá de una contabilidad para / desde Foucault. Ello llevaría a invertir el orden analítico propuesto por </w:t>
      </w:r>
      <w:proofErr w:type="spellStart"/>
      <w:r w:rsidRPr="68675208">
        <w:rPr>
          <w:lang w:eastAsia="es-ES"/>
        </w:rPr>
        <w:t>McKinlay</w:t>
      </w:r>
      <w:proofErr w:type="spellEnd"/>
      <w:r w:rsidRPr="68675208">
        <w:rPr>
          <w:lang w:eastAsia="es-ES"/>
        </w:rPr>
        <w:t xml:space="preserve"> y Pezet </w:t>
      </w:r>
      <w:r w:rsidR="00640378" w:rsidRPr="68675208">
        <w:rPr>
          <w:lang w:eastAsia="es-ES"/>
        </w:rPr>
        <w:fldChar w:fldCharType="begin" w:fldLock="1"/>
      </w:r>
      <w:r w:rsidR="00640378" w:rsidRPr="68675208">
        <w:rPr>
          <w:lang w:eastAsia="es-ES"/>
        </w:rPr>
        <w:instrText>ADDIN CSL_CITATION {"citationItems":[{"id":"ITEM-1","itemData":{"DOI":"10.1016/j.cpa.2009.08.006","ISBN":"1045-2354","ISSN":"10452354","PMID":"19153248","abstract":"Michel Foucault's concept of governmentality has been central to critical accounting research for two decades, a centrality that has placed systems of calculation as the starting point of discussions of the state, the firm and the market. We begin by outlining the development of governmentality in Foucault's own work. Despite the rich, productive nature of the concept, Foucault was careful to define governmentality as broadly and loosely as possible, the better to convey its open-endedness. The second section considers the introduction of Foucault to accounting research. The combination of Foucault and accounting history is not at all obvious, but became possible because a series of important contextual studies demonstrated that accounting history had to consider both the historicity of the profession and that its practices were vital in constructing measures of organisational performance, not simply uncovering previously obscure or hidden social realities. Moreover, accounting history studies the production of targets and measures of progress towards utility and welfare, processes that are not reducible to the firm or even to economic calculation. Our third section outlines the genesis of the 'London School of governmentality' and the main strands of their theoretical contribution. Finally, we examine the governmentalists' analysis of corporate restructuring and the introduction of new production organisation by Caterpillar. Our aim is to use the Caterpillar case as the vehicle for a broader consideration of governmentality, strategy and the enterprise. © 2009 Elsevier Ltd.","author":[{"dropping-particle":"","family":"McKinlay","given":"Alan","non-dropping-particle":"","parse-names":false,"suffix":""},{"dropping-particle":"","family":"Pezet","given":"Eric","non-dropping-particle":"","parse-names":false,"suffix":""}],"container-title":"Critical Perspectives on Accounting","id":"ITEM-1","issue":"6","issued":{"date-parts":[["2010"]]},"page":"486-495","title":"Accounting for Foucault","type":"article-journal","volume":"21"},"suppress-author":1,"uris":["http://www.mendeley.com/documents/?uuid=d4a16454-74b3-37da-8a70-bd7128681fa0"]}],"mendeley":{"formattedCitation":"(2010)","plainTextFormattedCitation":"(2010)","previouslyFormattedCitation":"(2010)"},"properties":{"noteIndex":0},"schema":"https://github.com/citation-style-language/schema/raw/master/csl-citation.json"}</w:instrText>
      </w:r>
      <w:r w:rsidR="00640378" w:rsidRPr="68675208">
        <w:rPr>
          <w:lang w:eastAsia="es-ES"/>
        </w:rPr>
        <w:fldChar w:fldCharType="separate"/>
      </w:r>
      <w:r w:rsidRPr="68675208">
        <w:rPr>
          <w:noProof/>
          <w:lang w:eastAsia="es-ES"/>
        </w:rPr>
        <w:t>(2010)</w:t>
      </w:r>
      <w:r w:rsidR="00640378" w:rsidRPr="68675208">
        <w:rPr>
          <w:lang w:eastAsia="es-ES"/>
        </w:rPr>
        <w:fldChar w:fldCharType="end"/>
      </w:r>
      <w:r w:rsidRPr="68675208">
        <w:rPr>
          <w:lang w:eastAsia="es-ES"/>
        </w:rPr>
        <w:t xml:space="preserve">  para construir herramientas que aproximen la obra de Foucault a quienes investigan la contabilidad. Entonces</w:t>
      </w:r>
      <w:r w:rsidR="00942CB5">
        <w:rPr>
          <w:lang w:eastAsia="es-ES"/>
        </w:rPr>
        <w:t>,</w:t>
      </w:r>
      <w:r w:rsidRPr="68675208">
        <w:rPr>
          <w:lang w:eastAsia="es-ES"/>
        </w:rPr>
        <w:t xml:space="preserve"> podría </w:t>
      </w:r>
      <w:proofErr w:type="spellStart"/>
      <w:r w:rsidRPr="68675208">
        <w:rPr>
          <w:lang w:eastAsia="es-ES"/>
        </w:rPr>
        <w:t>operacionalizarse</w:t>
      </w:r>
      <w:proofErr w:type="spellEnd"/>
      <w:r w:rsidRPr="68675208">
        <w:rPr>
          <w:lang w:eastAsia="es-ES"/>
        </w:rPr>
        <w:t xml:space="preserve"> esta red desde los distintos ámbitos de la contabilidad, tales como: Contabilidad de gestión y financiera; Contabilidad pública o gubernamental; Contabilidad fiscal y tributación; Auditoría y control; Educación contable; Regulación contable internacional; Ética y responsabilidad profesional contable; Contabilidad social y ambiental, entre muchos otros.</w:t>
      </w:r>
    </w:p>
    <w:p w14:paraId="1225D622" w14:textId="330AB3E9" w:rsidR="00DD70D5" w:rsidRPr="00E26E72" w:rsidRDefault="00906031" w:rsidP="00DD70D5">
      <w:pPr>
        <w:pStyle w:val="Ttulo1"/>
        <w:rPr>
          <w:rFonts w:asciiTheme="minorHAnsi" w:hAnsiTheme="minorHAnsi" w:cstheme="minorBidi"/>
          <w:sz w:val="24"/>
          <w:szCs w:val="24"/>
          <w:lang w:eastAsia="es-ES"/>
        </w:rPr>
      </w:pPr>
      <w:bookmarkStart w:id="19" w:name="_Toc26832216"/>
      <w:bookmarkStart w:id="20" w:name="_Toc87892837"/>
      <w:r w:rsidRPr="00E26E72">
        <w:rPr>
          <w:rFonts w:asciiTheme="minorHAnsi" w:hAnsiTheme="minorHAnsi" w:cstheme="minorBidi"/>
          <w:sz w:val="24"/>
          <w:szCs w:val="24"/>
          <w:lang w:eastAsia="es-ES"/>
        </w:rPr>
        <w:t>REFERENCIAS</w:t>
      </w:r>
      <w:bookmarkEnd w:id="19"/>
      <w:bookmarkEnd w:id="20"/>
    </w:p>
    <w:p w14:paraId="4752D45F" w14:textId="48CE0D68" w:rsidR="0019663E" w:rsidRPr="0019663E" w:rsidRDefault="00DD70D5" w:rsidP="0019663E">
      <w:pPr>
        <w:widowControl w:val="0"/>
        <w:autoSpaceDE w:val="0"/>
        <w:autoSpaceDN w:val="0"/>
        <w:adjustRightInd w:val="0"/>
        <w:spacing w:after="100" w:line="240" w:lineRule="auto"/>
        <w:ind w:left="480" w:hanging="480"/>
        <w:rPr>
          <w:rFonts w:ascii="Calibri" w:hAnsi="Calibri" w:cs="Calibri"/>
          <w:noProof/>
          <w:szCs w:val="24"/>
        </w:rPr>
      </w:pPr>
      <w:r w:rsidRPr="004C174D">
        <w:fldChar w:fldCharType="begin" w:fldLock="1"/>
      </w:r>
      <w:r w:rsidRPr="63EF4B96">
        <w:instrText xml:space="preserve">ADDIN Mendeley Bibliography CSL_BIBLIOGRAPHY </w:instrText>
      </w:r>
      <w:r w:rsidRPr="004C174D">
        <w:fldChar w:fldCharType="separate"/>
      </w:r>
      <w:r w:rsidR="0019663E" w:rsidRPr="0019663E">
        <w:rPr>
          <w:rFonts w:ascii="Calibri" w:hAnsi="Calibri" w:cs="Calibri"/>
          <w:noProof/>
          <w:szCs w:val="24"/>
        </w:rPr>
        <w:t xml:space="preserve">Arksey, H. y O’Malley, L. (2005). Scoping studies: towards a methodological framework. </w:t>
      </w:r>
      <w:r w:rsidR="0019663E" w:rsidRPr="0019663E">
        <w:rPr>
          <w:rFonts w:ascii="Calibri" w:hAnsi="Calibri" w:cs="Calibri"/>
          <w:i/>
          <w:iCs/>
          <w:noProof/>
          <w:szCs w:val="24"/>
        </w:rPr>
        <w:t>International Journal of Social Research Methodology</w:t>
      </w:r>
      <w:r w:rsidR="0019663E" w:rsidRPr="0019663E">
        <w:rPr>
          <w:rFonts w:ascii="Calibri" w:hAnsi="Calibri" w:cs="Calibri"/>
          <w:noProof/>
          <w:szCs w:val="24"/>
        </w:rPr>
        <w:t xml:space="preserve">, </w:t>
      </w:r>
      <w:r w:rsidR="0019663E" w:rsidRPr="0019663E">
        <w:rPr>
          <w:rFonts w:ascii="Calibri" w:hAnsi="Calibri" w:cs="Calibri"/>
          <w:i/>
          <w:iCs/>
          <w:noProof/>
          <w:szCs w:val="24"/>
        </w:rPr>
        <w:t>8</w:t>
      </w:r>
      <w:r w:rsidR="0019663E" w:rsidRPr="0019663E">
        <w:rPr>
          <w:rFonts w:ascii="Calibri" w:hAnsi="Calibri" w:cs="Calibri"/>
          <w:noProof/>
          <w:szCs w:val="24"/>
        </w:rPr>
        <w:t xml:space="preserve">(1), 19-32. </w:t>
      </w:r>
    </w:p>
    <w:p w14:paraId="4FAA2D02" w14:textId="23E52C25"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Armstrong, P. (1994). The Influence of Michel Foucault on Accounting Research. </w:t>
      </w:r>
      <w:r w:rsidRPr="0019663E">
        <w:rPr>
          <w:rFonts w:ascii="Calibri" w:hAnsi="Calibri" w:cs="Calibri"/>
          <w:i/>
          <w:iCs/>
          <w:noProof/>
          <w:szCs w:val="24"/>
        </w:rPr>
        <w:t>Critical Perspectives on Accounting</w:t>
      </w:r>
      <w:r w:rsidRPr="0019663E">
        <w:rPr>
          <w:rFonts w:ascii="Calibri" w:hAnsi="Calibri" w:cs="Calibri"/>
          <w:noProof/>
          <w:szCs w:val="24"/>
        </w:rPr>
        <w:t xml:space="preserve">, </w:t>
      </w:r>
      <w:r w:rsidRPr="0019663E">
        <w:rPr>
          <w:rFonts w:ascii="Calibri" w:hAnsi="Calibri" w:cs="Calibri"/>
          <w:i/>
          <w:iCs/>
          <w:noProof/>
          <w:szCs w:val="24"/>
        </w:rPr>
        <w:t>5</w:t>
      </w:r>
      <w:r w:rsidRPr="0019663E">
        <w:rPr>
          <w:rFonts w:ascii="Calibri" w:hAnsi="Calibri" w:cs="Calibri"/>
          <w:noProof/>
          <w:szCs w:val="24"/>
        </w:rPr>
        <w:t xml:space="preserve">(1), 25-55. </w:t>
      </w:r>
    </w:p>
    <w:p w14:paraId="4E8D802A" w14:textId="566A5865"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Aromataris, E., Fernandez, R., Godfrey, C. M., Holly, C., Khalil, H. y Tungpunkom, P. (2015a). Summarizing systematic reviews: Methodological development, conduct and reporting of an umbrella review approach. </w:t>
      </w:r>
      <w:r w:rsidRPr="0019663E">
        <w:rPr>
          <w:rFonts w:ascii="Calibri" w:hAnsi="Calibri" w:cs="Calibri"/>
          <w:i/>
          <w:iCs/>
          <w:noProof/>
          <w:szCs w:val="24"/>
        </w:rPr>
        <w:t>International Journal of Evidence-Based Healthcare</w:t>
      </w:r>
      <w:r w:rsidRPr="0019663E">
        <w:rPr>
          <w:rFonts w:ascii="Calibri" w:hAnsi="Calibri" w:cs="Calibri"/>
          <w:noProof/>
          <w:szCs w:val="24"/>
        </w:rPr>
        <w:t xml:space="preserve">, </w:t>
      </w:r>
      <w:r w:rsidRPr="0019663E">
        <w:rPr>
          <w:rFonts w:ascii="Calibri" w:hAnsi="Calibri" w:cs="Calibri"/>
          <w:i/>
          <w:iCs/>
          <w:noProof/>
          <w:szCs w:val="24"/>
        </w:rPr>
        <w:t>13</w:t>
      </w:r>
      <w:r w:rsidRPr="0019663E">
        <w:rPr>
          <w:rFonts w:ascii="Calibri" w:hAnsi="Calibri" w:cs="Calibri"/>
          <w:noProof/>
          <w:szCs w:val="24"/>
        </w:rPr>
        <w:t xml:space="preserve">(3), 132-140. </w:t>
      </w:r>
    </w:p>
    <w:p w14:paraId="257AAE51" w14:textId="5EC8BF93"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Aromataris, E., Fernandez, R., Godfrey, C. M., Holly, C., Khalil, H. y Tungpunkom, P. (2015b). Summarizing systematic reviews: Methodological development, conduct and reporting of an umbrella review approach. </w:t>
      </w:r>
      <w:r w:rsidRPr="0019663E">
        <w:rPr>
          <w:rFonts w:ascii="Calibri" w:hAnsi="Calibri" w:cs="Calibri"/>
          <w:i/>
          <w:iCs/>
          <w:noProof/>
          <w:szCs w:val="24"/>
        </w:rPr>
        <w:t>International Journal of Evidence-Based Healthcare</w:t>
      </w:r>
      <w:r w:rsidRPr="0019663E">
        <w:rPr>
          <w:rFonts w:ascii="Calibri" w:hAnsi="Calibri" w:cs="Calibri"/>
          <w:noProof/>
          <w:szCs w:val="24"/>
        </w:rPr>
        <w:t xml:space="preserve">, </w:t>
      </w:r>
      <w:r w:rsidRPr="0019663E">
        <w:rPr>
          <w:rFonts w:ascii="Calibri" w:hAnsi="Calibri" w:cs="Calibri"/>
          <w:i/>
          <w:iCs/>
          <w:noProof/>
          <w:szCs w:val="24"/>
        </w:rPr>
        <w:t>13</w:t>
      </w:r>
      <w:r w:rsidRPr="0019663E">
        <w:rPr>
          <w:rFonts w:ascii="Calibri" w:hAnsi="Calibri" w:cs="Calibri"/>
          <w:noProof/>
          <w:szCs w:val="24"/>
        </w:rPr>
        <w:t xml:space="preserve">(3), 132-140. </w:t>
      </w:r>
    </w:p>
    <w:p w14:paraId="6E7E11D8" w14:textId="524FE9CA"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Baxter, J. y Chua, W. F. (2003). Alternative management accounting research - Whence and whither. </w:t>
      </w:r>
      <w:r w:rsidRPr="0019663E">
        <w:rPr>
          <w:rFonts w:ascii="Calibri" w:hAnsi="Calibri" w:cs="Calibri"/>
          <w:i/>
          <w:iCs/>
          <w:noProof/>
          <w:szCs w:val="24"/>
        </w:rPr>
        <w:t>Accounting, Organizations and Society</w:t>
      </w:r>
      <w:r w:rsidRPr="0019663E">
        <w:rPr>
          <w:rFonts w:ascii="Calibri" w:hAnsi="Calibri" w:cs="Calibri"/>
          <w:noProof/>
          <w:szCs w:val="24"/>
        </w:rPr>
        <w:t xml:space="preserve">, </w:t>
      </w:r>
      <w:r w:rsidRPr="0019663E">
        <w:rPr>
          <w:rFonts w:ascii="Calibri" w:hAnsi="Calibri" w:cs="Calibri"/>
          <w:i/>
          <w:iCs/>
          <w:noProof/>
          <w:szCs w:val="24"/>
        </w:rPr>
        <w:t>28</w:t>
      </w:r>
      <w:r w:rsidRPr="0019663E">
        <w:rPr>
          <w:rFonts w:ascii="Calibri" w:hAnsi="Calibri" w:cs="Calibri"/>
          <w:noProof/>
          <w:szCs w:val="24"/>
        </w:rPr>
        <w:t>(2-3), 97-126.</w:t>
      </w:r>
    </w:p>
    <w:p w14:paraId="757F830D" w14:textId="7465275A"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lastRenderedPageBreak/>
        <w:t xml:space="preserve">Bedoya García, M. (2021). </w:t>
      </w:r>
      <w:r w:rsidRPr="0019663E">
        <w:rPr>
          <w:rFonts w:ascii="Calibri" w:hAnsi="Calibri" w:cs="Calibri"/>
          <w:i/>
          <w:iCs/>
          <w:noProof/>
          <w:szCs w:val="24"/>
        </w:rPr>
        <w:t>Evaluación del papel de la contabilidad en la subjetivación de los estudiantes universitarios en Colombia 2000-2015.</w:t>
      </w:r>
      <w:r w:rsidRPr="0019663E">
        <w:rPr>
          <w:rFonts w:ascii="Calibri" w:hAnsi="Calibri" w:cs="Calibri"/>
          <w:noProof/>
          <w:szCs w:val="24"/>
        </w:rPr>
        <w:t xml:space="preserve"> Universidad Nacional de Colombia.</w:t>
      </w:r>
      <w:r w:rsidR="003F4031" w:rsidRPr="003F4031">
        <w:t xml:space="preserve"> </w:t>
      </w:r>
      <w:r w:rsidR="003F4031" w:rsidRPr="003F4031">
        <w:rPr>
          <w:rFonts w:ascii="Calibri" w:hAnsi="Calibri" w:cs="Calibri"/>
          <w:noProof/>
          <w:szCs w:val="24"/>
        </w:rPr>
        <w:t>https://repositorio.unal.edu.co/handle/unal/79935</w:t>
      </w:r>
    </w:p>
    <w:p w14:paraId="37D38608" w14:textId="5EED57D8"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Burchell, S., Clubb, C. y Hopwood, A. G. (1985). Accounting in its social context: Towards a history of value added in the United Kingdom. </w:t>
      </w:r>
      <w:r w:rsidRPr="0019663E">
        <w:rPr>
          <w:rFonts w:ascii="Calibri" w:hAnsi="Calibri" w:cs="Calibri"/>
          <w:i/>
          <w:iCs/>
          <w:noProof/>
          <w:szCs w:val="24"/>
        </w:rPr>
        <w:t>Accounting, Organizations and Society</w:t>
      </w:r>
      <w:r w:rsidRPr="0019663E">
        <w:rPr>
          <w:rFonts w:ascii="Calibri" w:hAnsi="Calibri" w:cs="Calibri"/>
          <w:noProof/>
          <w:szCs w:val="24"/>
        </w:rPr>
        <w:t xml:space="preserve">, </w:t>
      </w:r>
      <w:r w:rsidRPr="0019663E">
        <w:rPr>
          <w:rFonts w:ascii="Calibri" w:hAnsi="Calibri" w:cs="Calibri"/>
          <w:i/>
          <w:iCs/>
          <w:noProof/>
          <w:szCs w:val="24"/>
        </w:rPr>
        <w:t>10</w:t>
      </w:r>
      <w:r w:rsidRPr="0019663E">
        <w:rPr>
          <w:rFonts w:ascii="Calibri" w:hAnsi="Calibri" w:cs="Calibri"/>
          <w:noProof/>
          <w:szCs w:val="24"/>
        </w:rPr>
        <w:t xml:space="preserve">(4), 381-413. </w:t>
      </w:r>
    </w:p>
    <w:p w14:paraId="48C9A192" w14:textId="028261C4"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Burchell, S., Clubb, C., Hopwood, A., Hughes, J. y Nahapiet, J. (1980). The roles of accounting in organizations and society. </w:t>
      </w:r>
      <w:r w:rsidRPr="0019663E">
        <w:rPr>
          <w:rFonts w:ascii="Calibri" w:hAnsi="Calibri" w:cs="Calibri"/>
          <w:i/>
          <w:iCs/>
          <w:noProof/>
          <w:szCs w:val="24"/>
        </w:rPr>
        <w:t>Accounting, Organizations and Society</w:t>
      </w:r>
      <w:r w:rsidRPr="0019663E">
        <w:rPr>
          <w:rFonts w:ascii="Calibri" w:hAnsi="Calibri" w:cs="Calibri"/>
          <w:noProof/>
          <w:szCs w:val="24"/>
        </w:rPr>
        <w:t xml:space="preserve">, </w:t>
      </w:r>
      <w:r w:rsidRPr="0019663E">
        <w:rPr>
          <w:rFonts w:ascii="Calibri" w:hAnsi="Calibri" w:cs="Calibri"/>
          <w:i/>
          <w:iCs/>
          <w:noProof/>
          <w:szCs w:val="24"/>
        </w:rPr>
        <w:t>5</w:t>
      </w:r>
      <w:r w:rsidRPr="0019663E">
        <w:rPr>
          <w:rFonts w:ascii="Calibri" w:hAnsi="Calibri" w:cs="Calibri"/>
          <w:noProof/>
          <w:szCs w:val="24"/>
        </w:rPr>
        <w:t xml:space="preserve">(1), 5-27. </w:t>
      </w:r>
    </w:p>
    <w:p w14:paraId="7A482E82"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Chapman, C. S., Cooper, D. J. y Miller, P. (2009). </w:t>
      </w:r>
      <w:r w:rsidRPr="0019663E">
        <w:rPr>
          <w:rFonts w:ascii="Calibri" w:hAnsi="Calibri" w:cs="Calibri"/>
          <w:i/>
          <w:iCs/>
          <w:noProof/>
          <w:szCs w:val="24"/>
        </w:rPr>
        <w:t>Accounting, Organizations, and Institutions: Essays in Honour of Anthony Hopwood</w:t>
      </w:r>
      <w:r w:rsidRPr="0019663E">
        <w:rPr>
          <w:rFonts w:ascii="Calibri" w:hAnsi="Calibri" w:cs="Calibri"/>
          <w:noProof/>
          <w:szCs w:val="24"/>
        </w:rPr>
        <w:t>. OUP Oxford.</w:t>
      </w:r>
    </w:p>
    <w:p w14:paraId="3E2D3494"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Chua, W. F. (1986). Radical Developments in Accounting Thought. </w:t>
      </w:r>
      <w:r w:rsidRPr="0019663E">
        <w:rPr>
          <w:rFonts w:ascii="Calibri" w:hAnsi="Calibri" w:cs="Calibri"/>
          <w:i/>
          <w:iCs/>
          <w:noProof/>
          <w:szCs w:val="24"/>
        </w:rPr>
        <w:t>Accounting Review</w:t>
      </w:r>
      <w:r w:rsidRPr="0019663E">
        <w:rPr>
          <w:rFonts w:ascii="Calibri" w:hAnsi="Calibri" w:cs="Calibri"/>
          <w:noProof/>
          <w:szCs w:val="24"/>
        </w:rPr>
        <w:t xml:space="preserve">, </w:t>
      </w:r>
      <w:r w:rsidRPr="0019663E">
        <w:rPr>
          <w:rFonts w:ascii="Calibri" w:hAnsi="Calibri" w:cs="Calibri"/>
          <w:i/>
          <w:iCs/>
          <w:noProof/>
          <w:szCs w:val="24"/>
        </w:rPr>
        <w:t>61</w:t>
      </w:r>
      <w:r w:rsidRPr="0019663E">
        <w:rPr>
          <w:rFonts w:ascii="Calibri" w:hAnsi="Calibri" w:cs="Calibri"/>
          <w:noProof/>
          <w:szCs w:val="24"/>
        </w:rPr>
        <w:t>(4), 601.</w:t>
      </w:r>
    </w:p>
    <w:p w14:paraId="6746D546"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Flor, N. (2013). La contabilidad vista como dispositivo de poder: aproximación interpretativa desde la perspectiva foucaultiana. </w:t>
      </w:r>
      <w:r w:rsidRPr="0019663E">
        <w:rPr>
          <w:rFonts w:ascii="Calibri" w:hAnsi="Calibri" w:cs="Calibri"/>
          <w:i/>
          <w:iCs/>
          <w:noProof/>
          <w:szCs w:val="24"/>
        </w:rPr>
        <w:t>Cuadernos de Contabilidad</w:t>
      </w:r>
      <w:r w:rsidRPr="0019663E">
        <w:rPr>
          <w:rFonts w:ascii="Calibri" w:hAnsi="Calibri" w:cs="Calibri"/>
          <w:noProof/>
          <w:szCs w:val="24"/>
        </w:rPr>
        <w:t xml:space="preserve">, </w:t>
      </w:r>
      <w:r w:rsidRPr="0019663E">
        <w:rPr>
          <w:rFonts w:ascii="Calibri" w:hAnsi="Calibri" w:cs="Calibri"/>
          <w:i/>
          <w:iCs/>
          <w:noProof/>
          <w:szCs w:val="24"/>
        </w:rPr>
        <w:t>14</w:t>
      </w:r>
      <w:r w:rsidRPr="0019663E">
        <w:rPr>
          <w:rFonts w:ascii="Calibri" w:hAnsi="Calibri" w:cs="Calibri"/>
          <w:noProof/>
          <w:szCs w:val="24"/>
        </w:rPr>
        <w:t>(34), 64.</w:t>
      </w:r>
    </w:p>
    <w:p w14:paraId="2370D186"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Foucault, M. (1978). </w:t>
      </w:r>
      <w:r w:rsidRPr="0019663E">
        <w:rPr>
          <w:rFonts w:ascii="Calibri" w:hAnsi="Calibri" w:cs="Calibri"/>
          <w:i/>
          <w:iCs/>
          <w:noProof/>
          <w:szCs w:val="24"/>
        </w:rPr>
        <w:t>Microfísica del poder</w:t>
      </w:r>
      <w:r w:rsidRPr="0019663E">
        <w:rPr>
          <w:rFonts w:ascii="Calibri" w:hAnsi="Calibri" w:cs="Calibri"/>
          <w:noProof/>
          <w:szCs w:val="24"/>
        </w:rPr>
        <w:t>. Ediciones de la Piqueta.</w:t>
      </w:r>
    </w:p>
    <w:p w14:paraId="3A22B528" w14:textId="65F4FC5D"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Gendron, Y. y Baker, C. R. (2005). On interdisciplinary movements: The development of a network of support around Foucaultian perspectives in accounting research. </w:t>
      </w:r>
      <w:r w:rsidRPr="0019663E">
        <w:rPr>
          <w:rFonts w:ascii="Calibri" w:hAnsi="Calibri" w:cs="Calibri"/>
          <w:i/>
          <w:iCs/>
          <w:noProof/>
          <w:szCs w:val="24"/>
        </w:rPr>
        <w:t>European accounting review</w:t>
      </w:r>
      <w:r w:rsidRPr="0019663E">
        <w:rPr>
          <w:rFonts w:ascii="Calibri" w:hAnsi="Calibri" w:cs="Calibri"/>
          <w:noProof/>
          <w:szCs w:val="24"/>
        </w:rPr>
        <w:t xml:space="preserve">, </w:t>
      </w:r>
      <w:r w:rsidRPr="0019663E">
        <w:rPr>
          <w:rFonts w:ascii="Calibri" w:hAnsi="Calibri" w:cs="Calibri"/>
          <w:i/>
          <w:iCs/>
          <w:noProof/>
          <w:szCs w:val="24"/>
        </w:rPr>
        <w:t>14</w:t>
      </w:r>
      <w:r w:rsidRPr="0019663E">
        <w:rPr>
          <w:rFonts w:ascii="Calibri" w:hAnsi="Calibri" w:cs="Calibri"/>
          <w:noProof/>
          <w:szCs w:val="24"/>
        </w:rPr>
        <w:t xml:space="preserve">(3), 525-569. </w:t>
      </w:r>
    </w:p>
    <w:p w14:paraId="608C9134"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Gómez, M. y Ospina, C. M. (2009). </w:t>
      </w:r>
      <w:r w:rsidRPr="0019663E">
        <w:rPr>
          <w:rFonts w:ascii="Calibri" w:hAnsi="Calibri" w:cs="Calibri"/>
          <w:i/>
          <w:iCs/>
          <w:noProof/>
          <w:szCs w:val="24"/>
        </w:rPr>
        <w:t>Avances interdisciplinarios para una comprensión crítica de la contabilidad: textos paradigmáticos de las corrientes heterodoxas</w:t>
      </w:r>
      <w:r w:rsidRPr="0019663E">
        <w:rPr>
          <w:rFonts w:ascii="Calibri" w:hAnsi="Calibri" w:cs="Calibri"/>
          <w:noProof/>
          <w:szCs w:val="24"/>
        </w:rPr>
        <w:t>. Universidad de Antioquia y Universidad Nacional de Colombia.</w:t>
      </w:r>
    </w:p>
    <w:p w14:paraId="0BAB5149" w14:textId="75F8D449"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Graham, C. (2012). The Subject of Retirement. </w:t>
      </w:r>
      <w:r w:rsidRPr="0019663E">
        <w:rPr>
          <w:rFonts w:ascii="Calibri" w:hAnsi="Calibri" w:cs="Calibri"/>
          <w:i/>
          <w:iCs/>
          <w:noProof/>
          <w:szCs w:val="24"/>
        </w:rPr>
        <w:t>Foucault Studies</w:t>
      </w:r>
      <w:r w:rsidRPr="0019663E">
        <w:rPr>
          <w:rFonts w:ascii="Calibri" w:hAnsi="Calibri" w:cs="Calibri"/>
          <w:noProof/>
          <w:szCs w:val="24"/>
        </w:rPr>
        <w:t xml:space="preserve">, </w:t>
      </w:r>
      <w:r w:rsidRPr="0019663E">
        <w:rPr>
          <w:rFonts w:ascii="Calibri" w:hAnsi="Calibri" w:cs="Calibri"/>
          <w:i/>
          <w:iCs/>
          <w:noProof/>
          <w:szCs w:val="24"/>
        </w:rPr>
        <w:t>13</w:t>
      </w:r>
      <w:r w:rsidRPr="0019663E">
        <w:rPr>
          <w:rFonts w:ascii="Calibri" w:hAnsi="Calibri" w:cs="Calibri"/>
          <w:noProof/>
          <w:szCs w:val="24"/>
        </w:rPr>
        <w:t xml:space="preserve">, 25-39. </w:t>
      </w:r>
    </w:p>
    <w:p w14:paraId="465A0562"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Hidalgo, C. y Yela, J. (2011). El poder en Foucault: bases analíticas para el estudio de las organizaciones. </w:t>
      </w:r>
      <w:r w:rsidRPr="0019663E">
        <w:rPr>
          <w:rFonts w:ascii="Calibri" w:hAnsi="Calibri" w:cs="Calibri"/>
          <w:i/>
          <w:iCs/>
          <w:noProof/>
          <w:szCs w:val="24"/>
        </w:rPr>
        <w:t>Cuadernos de Administración</w:t>
      </w:r>
      <w:r w:rsidRPr="0019663E">
        <w:rPr>
          <w:rFonts w:ascii="Calibri" w:hAnsi="Calibri" w:cs="Calibri"/>
          <w:noProof/>
          <w:szCs w:val="24"/>
        </w:rPr>
        <w:t xml:space="preserve">, </w:t>
      </w:r>
      <w:r w:rsidRPr="0019663E">
        <w:rPr>
          <w:rFonts w:ascii="Calibri" w:hAnsi="Calibri" w:cs="Calibri"/>
          <w:i/>
          <w:iCs/>
          <w:noProof/>
          <w:szCs w:val="24"/>
        </w:rPr>
        <w:t>26</w:t>
      </w:r>
      <w:r w:rsidRPr="0019663E">
        <w:rPr>
          <w:rFonts w:ascii="Calibri" w:hAnsi="Calibri" w:cs="Calibri"/>
          <w:noProof/>
          <w:szCs w:val="24"/>
        </w:rPr>
        <w:t>(44), 57-70.</w:t>
      </w:r>
    </w:p>
    <w:p w14:paraId="068D4C5C"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Hopwood, A. G. (1987). The archeology of accounting systems. </w:t>
      </w:r>
      <w:r w:rsidRPr="0019663E">
        <w:rPr>
          <w:rFonts w:ascii="Calibri" w:hAnsi="Calibri" w:cs="Calibri"/>
          <w:i/>
          <w:iCs/>
          <w:noProof/>
          <w:szCs w:val="24"/>
        </w:rPr>
        <w:t>Accounting, organizations and society</w:t>
      </w:r>
      <w:r w:rsidRPr="0019663E">
        <w:rPr>
          <w:rFonts w:ascii="Calibri" w:hAnsi="Calibri" w:cs="Calibri"/>
          <w:noProof/>
          <w:szCs w:val="24"/>
        </w:rPr>
        <w:t xml:space="preserve">, </w:t>
      </w:r>
      <w:r w:rsidRPr="0019663E">
        <w:rPr>
          <w:rFonts w:ascii="Calibri" w:hAnsi="Calibri" w:cs="Calibri"/>
          <w:i/>
          <w:iCs/>
          <w:noProof/>
          <w:szCs w:val="24"/>
        </w:rPr>
        <w:t>12</w:t>
      </w:r>
      <w:r w:rsidRPr="0019663E">
        <w:rPr>
          <w:rFonts w:ascii="Calibri" w:hAnsi="Calibri" w:cs="Calibri"/>
          <w:noProof/>
          <w:szCs w:val="24"/>
        </w:rPr>
        <w:t>(3), 207-234.</w:t>
      </w:r>
    </w:p>
    <w:p w14:paraId="75B70B08"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Hoque, Z. (2018). </w:t>
      </w:r>
      <w:r w:rsidRPr="0019663E">
        <w:rPr>
          <w:rFonts w:ascii="Calibri" w:hAnsi="Calibri" w:cs="Calibri"/>
          <w:i/>
          <w:iCs/>
          <w:noProof/>
          <w:szCs w:val="24"/>
        </w:rPr>
        <w:t>Methodological issues in accounting research: Second edition</w:t>
      </w:r>
      <w:r w:rsidRPr="0019663E">
        <w:rPr>
          <w:rFonts w:ascii="Calibri" w:hAnsi="Calibri" w:cs="Calibri"/>
          <w:noProof/>
          <w:szCs w:val="24"/>
        </w:rPr>
        <w:t>. Spiramus Press.</w:t>
      </w:r>
    </w:p>
    <w:p w14:paraId="0A2F3928"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Hoque, Z., Parker, L. D., Covaleski, M. A. y Haynes, K. (2017). </w:t>
      </w:r>
      <w:r w:rsidRPr="0019663E">
        <w:rPr>
          <w:rFonts w:ascii="Calibri" w:hAnsi="Calibri" w:cs="Calibri"/>
          <w:i/>
          <w:iCs/>
          <w:noProof/>
          <w:szCs w:val="24"/>
        </w:rPr>
        <w:t>The Routledge companion to qualitative accounting research methods</w:t>
      </w:r>
      <w:r w:rsidRPr="0019663E">
        <w:rPr>
          <w:rFonts w:ascii="Calibri" w:hAnsi="Calibri" w:cs="Calibri"/>
          <w:noProof/>
          <w:szCs w:val="24"/>
        </w:rPr>
        <w:t>. Routledge.</w:t>
      </w:r>
    </w:p>
    <w:p w14:paraId="50B061C3"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Hoskin, K. (1994). Boxing clever: for, against and beyond Foucault in the battle for accounting theory. </w:t>
      </w:r>
      <w:r w:rsidRPr="0019663E">
        <w:rPr>
          <w:rFonts w:ascii="Calibri" w:hAnsi="Calibri" w:cs="Calibri"/>
          <w:i/>
          <w:iCs/>
          <w:noProof/>
          <w:szCs w:val="24"/>
        </w:rPr>
        <w:t>Critical Perspectives on Accounting</w:t>
      </w:r>
      <w:r w:rsidRPr="0019663E">
        <w:rPr>
          <w:rFonts w:ascii="Calibri" w:hAnsi="Calibri" w:cs="Calibri"/>
          <w:noProof/>
          <w:szCs w:val="24"/>
        </w:rPr>
        <w:t xml:space="preserve">, </w:t>
      </w:r>
      <w:r w:rsidRPr="0019663E">
        <w:rPr>
          <w:rFonts w:ascii="Calibri" w:hAnsi="Calibri" w:cs="Calibri"/>
          <w:i/>
          <w:iCs/>
          <w:noProof/>
          <w:szCs w:val="24"/>
        </w:rPr>
        <w:t>5</w:t>
      </w:r>
      <w:r w:rsidRPr="0019663E">
        <w:rPr>
          <w:rFonts w:ascii="Calibri" w:hAnsi="Calibri" w:cs="Calibri"/>
          <w:noProof/>
          <w:szCs w:val="24"/>
        </w:rPr>
        <w:t>(1), 57-85.</w:t>
      </w:r>
    </w:p>
    <w:p w14:paraId="19A35274" w14:textId="7B869B18"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Hoskin, K. y Macve, R. (1986). Accounting and the examination: A genealogy of disciplinary power. </w:t>
      </w:r>
      <w:r w:rsidRPr="0019663E">
        <w:rPr>
          <w:rFonts w:ascii="Calibri" w:hAnsi="Calibri" w:cs="Calibri"/>
          <w:i/>
          <w:iCs/>
          <w:noProof/>
          <w:szCs w:val="24"/>
        </w:rPr>
        <w:t>Accounting, Organizations and Society</w:t>
      </w:r>
      <w:r w:rsidRPr="0019663E">
        <w:rPr>
          <w:rFonts w:ascii="Calibri" w:hAnsi="Calibri" w:cs="Calibri"/>
          <w:noProof/>
          <w:szCs w:val="24"/>
        </w:rPr>
        <w:t xml:space="preserve">, </w:t>
      </w:r>
      <w:r w:rsidRPr="0019663E">
        <w:rPr>
          <w:rFonts w:ascii="Calibri" w:hAnsi="Calibri" w:cs="Calibri"/>
          <w:i/>
          <w:iCs/>
          <w:noProof/>
          <w:szCs w:val="24"/>
        </w:rPr>
        <w:t>11</w:t>
      </w:r>
      <w:r w:rsidRPr="0019663E">
        <w:rPr>
          <w:rFonts w:ascii="Calibri" w:hAnsi="Calibri" w:cs="Calibri"/>
          <w:noProof/>
          <w:szCs w:val="24"/>
        </w:rPr>
        <w:t xml:space="preserve">(2), 105-136. </w:t>
      </w:r>
    </w:p>
    <w:p w14:paraId="299EF319" w14:textId="2D4CEF5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Hoskin, K. y Macve, R. (1988). The genesis of accountability: The west point connections. </w:t>
      </w:r>
      <w:r w:rsidRPr="0019663E">
        <w:rPr>
          <w:rFonts w:ascii="Calibri" w:hAnsi="Calibri" w:cs="Calibri"/>
          <w:i/>
          <w:iCs/>
          <w:noProof/>
          <w:szCs w:val="24"/>
        </w:rPr>
        <w:t>Accounting, Organizations and Society</w:t>
      </w:r>
      <w:r w:rsidRPr="0019663E">
        <w:rPr>
          <w:rFonts w:ascii="Calibri" w:hAnsi="Calibri" w:cs="Calibri"/>
          <w:noProof/>
          <w:szCs w:val="24"/>
        </w:rPr>
        <w:t xml:space="preserve">, </w:t>
      </w:r>
      <w:r w:rsidRPr="0019663E">
        <w:rPr>
          <w:rFonts w:ascii="Calibri" w:hAnsi="Calibri" w:cs="Calibri"/>
          <w:i/>
          <w:iCs/>
          <w:noProof/>
          <w:szCs w:val="24"/>
        </w:rPr>
        <w:t>13</w:t>
      </w:r>
      <w:r w:rsidRPr="0019663E">
        <w:rPr>
          <w:rFonts w:ascii="Calibri" w:hAnsi="Calibri" w:cs="Calibri"/>
          <w:noProof/>
          <w:szCs w:val="24"/>
        </w:rPr>
        <w:t xml:space="preserve">(1), 37-73. </w:t>
      </w:r>
    </w:p>
    <w:p w14:paraId="51E0E072"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Jack, L. (2016). </w:t>
      </w:r>
      <w:r w:rsidRPr="0019663E">
        <w:rPr>
          <w:rFonts w:ascii="Calibri" w:hAnsi="Calibri" w:cs="Calibri"/>
          <w:i/>
          <w:iCs/>
          <w:noProof/>
          <w:szCs w:val="24"/>
        </w:rPr>
        <w:t>Accounting and Social Theory: An introduction</w:t>
      </w:r>
      <w:r w:rsidRPr="0019663E">
        <w:rPr>
          <w:rFonts w:ascii="Calibri" w:hAnsi="Calibri" w:cs="Calibri"/>
          <w:noProof/>
          <w:szCs w:val="24"/>
        </w:rPr>
        <w:t>. Taylor &amp; Francis.</w:t>
      </w:r>
    </w:p>
    <w:p w14:paraId="3B0F5180"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Jesson, J., Matheson, L. y Lacey, F. M. (2011). </w:t>
      </w:r>
      <w:r w:rsidRPr="0019663E">
        <w:rPr>
          <w:rFonts w:ascii="Calibri" w:hAnsi="Calibri" w:cs="Calibri"/>
          <w:i/>
          <w:iCs/>
          <w:noProof/>
          <w:szCs w:val="24"/>
        </w:rPr>
        <w:t>Doing Your Literature Review: Traditional and Systematic Techniques</w:t>
      </w:r>
      <w:r w:rsidRPr="0019663E">
        <w:rPr>
          <w:rFonts w:ascii="Calibri" w:hAnsi="Calibri" w:cs="Calibri"/>
          <w:noProof/>
          <w:szCs w:val="24"/>
        </w:rPr>
        <w:t>. SAGE Publications.</w:t>
      </w:r>
    </w:p>
    <w:p w14:paraId="55B67E68" w14:textId="0573248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Knights, D. y Bloom, P. (2017). Foucault. En R. Roslender (Ed.), </w:t>
      </w:r>
      <w:r w:rsidRPr="0019663E">
        <w:rPr>
          <w:rFonts w:ascii="Calibri" w:hAnsi="Calibri" w:cs="Calibri"/>
          <w:i/>
          <w:iCs/>
          <w:noProof/>
          <w:szCs w:val="24"/>
        </w:rPr>
        <w:t>The Routledge Companion to Critical Accounting</w:t>
      </w:r>
      <w:r w:rsidRPr="0019663E">
        <w:rPr>
          <w:rFonts w:ascii="Calibri" w:hAnsi="Calibri" w:cs="Calibri"/>
          <w:noProof/>
          <w:szCs w:val="24"/>
        </w:rPr>
        <w:t xml:space="preserve"> (pp. 91-108). Routledge. </w:t>
      </w:r>
    </w:p>
    <w:p w14:paraId="551C2CA1"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Larrinaga, C. (1999). Perspectivas alternativas de investigación en contabilidad: una revisión. </w:t>
      </w:r>
      <w:r w:rsidRPr="0019663E">
        <w:rPr>
          <w:rFonts w:ascii="Calibri" w:hAnsi="Calibri" w:cs="Calibri"/>
          <w:i/>
          <w:iCs/>
          <w:noProof/>
          <w:szCs w:val="24"/>
        </w:rPr>
        <w:t>Revista española de contabilidad</w:t>
      </w:r>
      <w:r w:rsidRPr="0019663E">
        <w:rPr>
          <w:rFonts w:ascii="Calibri" w:hAnsi="Calibri" w:cs="Calibri"/>
          <w:noProof/>
          <w:szCs w:val="24"/>
        </w:rPr>
        <w:t xml:space="preserve">, </w:t>
      </w:r>
      <w:r w:rsidRPr="0019663E">
        <w:rPr>
          <w:rFonts w:ascii="Calibri" w:hAnsi="Calibri" w:cs="Calibri"/>
          <w:i/>
          <w:iCs/>
          <w:noProof/>
          <w:szCs w:val="24"/>
        </w:rPr>
        <w:t>2</w:t>
      </w:r>
      <w:r w:rsidRPr="0019663E">
        <w:rPr>
          <w:rFonts w:ascii="Calibri" w:hAnsi="Calibri" w:cs="Calibri"/>
          <w:noProof/>
          <w:szCs w:val="24"/>
        </w:rPr>
        <w:t>(3), 103-132.</w:t>
      </w:r>
    </w:p>
    <w:p w14:paraId="34E8F5F4"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Loft, A. (1986). </w:t>
      </w:r>
      <w:r w:rsidRPr="0019663E">
        <w:rPr>
          <w:rFonts w:ascii="Calibri" w:hAnsi="Calibri" w:cs="Calibri"/>
          <w:i/>
          <w:iCs/>
          <w:noProof/>
          <w:szCs w:val="24"/>
        </w:rPr>
        <w:t xml:space="preserve">Understanding Accounting in Its Social and Historical Context: The Case of Cost </w:t>
      </w:r>
      <w:r w:rsidRPr="0019663E">
        <w:rPr>
          <w:rFonts w:ascii="Calibri" w:hAnsi="Calibri" w:cs="Calibri"/>
          <w:i/>
          <w:iCs/>
          <w:noProof/>
          <w:szCs w:val="24"/>
        </w:rPr>
        <w:lastRenderedPageBreak/>
        <w:t>Accounting in Britain, 1914-1925</w:t>
      </w:r>
      <w:r w:rsidRPr="0019663E">
        <w:rPr>
          <w:rFonts w:ascii="Calibri" w:hAnsi="Calibri" w:cs="Calibri"/>
          <w:noProof/>
          <w:szCs w:val="24"/>
        </w:rPr>
        <w:t>. Taylor &amp; Francis Group.</w:t>
      </w:r>
    </w:p>
    <w:p w14:paraId="683066D5"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Loft, A. (2007). ‘Nice work’: writing a Ph. D. thesis in accounting. En </w:t>
      </w:r>
      <w:r w:rsidRPr="0019663E">
        <w:rPr>
          <w:rFonts w:ascii="Calibri" w:hAnsi="Calibri" w:cs="Calibri"/>
          <w:i/>
          <w:iCs/>
          <w:noProof/>
          <w:szCs w:val="24"/>
        </w:rPr>
        <w:t>The Real Life Guide to Accounting Research</w:t>
      </w:r>
      <w:r w:rsidRPr="0019663E">
        <w:rPr>
          <w:rFonts w:ascii="Calibri" w:hAnsi="Calibri" w:cs="Calibri"/>
          <w:noProof/>
          <w:szCs w:val="24"/>
        </w:rPr>
        <w:t xml:space="preserve"> (pp. 95-117). Elsevier.</w:t>
      </w:r>
    </w:p>
    <w:p w14:paraId="23E5E760" w14:textId="161C6FA1"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Lucumí Mosquera, L. F. (2017). </w:t>
      </w:r>
      <w:r w:rsidRPr="0019663E">
        <w:rPr>
          <w:rFonts w:ascii="Calibri" w:hAnsi="Calibri" w:cs="Calibri"/>
          <w:i/>
          <w:iCs/>
          <w:noProof/>
          <w:szCs w:val="24"/>
        </w:rPr>
        <w:t>Criterios regulados para la valoración contable en Colombia (1990-2016) : a propósito de la arqueología del saber de Michel Foucault</w:t>
      </w:r>
      <w:r w:rsidRPr="0019663E">
        <w:rPr>
          <w:rFonts w:ascii="Calibri" w:hAnsi="Calibri" w:cs="Calibri"/>
          <w:noProof/>
          <w:szCs w:val="24"/>
        </w:rPr>
        <w:t>. Universidad del Valle.</w:t>
      </w:r>
      <w:r w:rsidR="00CF3B8B" w:rsidRPr="00CF3B8B">
        <w:t xml:space="preserve"> </w:t>
      </w:r>
      <w:r w:rsidR="00CF3B8B" w:rsidRPr="00CF3B8B">
        <w:rPr>
          <w:rFonts w:ascii="Calibri" w:hAnsi="Calibri" w:cs="Calibri"/>
          <w:noProof/>
          <w:szCs w:val="24"/>
        </w:rPr>
        <w:t>https://bibliotecadigital.univalle.edu.co/handle/10893/17221</w:t>
      </w:r>
    </w:p>
    <w:p w14:paraId="45EA1A3A"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Macintosh, N. B. (2002). </w:t>
      </w:r>
      <w:r w:rsidRPr="0019663E">
        <w:rPr>
          <w:rFonts w:ascii="Calibri" w:hAnsi="Calibri" w:cs="Calibri"/>
          <w:i/>
          <w:iCs/>
          <w:noProof/>
          <w:szCs w:val="24"/>
        </w:rPr>
        <w:t>Accounting, accountants and accountability : poststructuralist positions</w:t>
      </w:r>
      <w:r w:rsidRPr="0019663E">
        <w:rPr>
          <w:rFonts w:ascii="Calibri" w:hAnsi="Calibri" w:cs="Calibri"/>
          <w:noProof/>
          <w:szCs w:val="24"/>
        </w:rPr>
        <w:t>. Routledge.</w:t>
      </w:r>
    </w:p>
    <w:p w14:paraId="40FD006E"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Macintosh, N. B. y Hopper, T. (2005). </w:t>
      </w:r>
      <w:r w:rsidRPr="0019663E">
        <w:rPr>
          <w:rFonts w:ascii="Calibri" w:hAnsi="Calibri" w:cs="Calibri"/>
          <w:i/>
          <w:iCs/>
          <w:noProof/>
          <w:szCs w:val="24"/>
        </w:rPr>
        <w:t>Accounting, the social and the political : classics, contemporary and beyond</w:t>
      </w:r>
      <w:r w:rsidRPr="0019663E">
        <w:rPr>
          <w:rFonts w:ascii="Calibri" w:hAnsi="Calibri" w:cs="Calibri"/>
          <w:noProof/>
          <w:szCs w:val="24"/>
        </w:rPr>
        <w:t>. Elsevier.</w:t>
      </w:r>
    </w:p>
    <w:p w14:paraId="4506623D" w14:textId="52183341"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McKinlay, A. y Pezet, E. (2010). Accounting for Foucault. </w:t>
      </w:r>
      <w:r w:rsidRPr="0019663E">
        <w:rPr>
          <w:rFonts w:ascii="Calibri" w:hAnsi="Calibri" w:cs="Calibri"/>
          <w:i/>
          <w:iCs/>
          <w:noProof/>
          <w:szCs w:val="24"/>
        </w:rPr>
        <w:t>Critical Perspectives on Accounting</w:t>
      </w:r>
      <w:r w:rsidRPr="0019663E">
        <w:rPr>
          <w:rFonts w:ascii="Calibri" w:hAnsi="Calibri" w:cs="Calibri"/>
          <w:noProof/>
          <w:szCs w:val="24"/>
        </w:rPr>
        <w:t xml:space="preserve">, </w:t>
      </w:r>
      <w:r w:rsidRPr="0019663E">
        <w:rPr>
          <w:rFonts w:ascii="Calibri" w:hAnsi="Calibri" w:cs="Calibri"/>
          <w:i/>
          <w:iCs/>
          <w:noProof/>
          <w:szCs w:val="24"/>
        </w:rPr>
        <w:t>21</w:t>
      </w:r>
      <w:r w:rsidRPr="0019663E">
        <w:rPr>
          <w:rFonts w:ascii="Calibri" w:hAnsi="Calibri" w:cs="Calibri"/>
          <w:noProof/>
          <w:szCs w:val="24"/>
        </w:rPr>
        <w:t xml:space="preserve">(6), 486-495. </w:t>
      </w:r>
    </w:p>
    <w:p w14:paraId="20F395AE"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McPhail, K. (1999). The threat of ethical accountants: an application of Foucault’s concept of ethics to accounting education and some thoughts on ethically educating for the other. </w:t>
      </w:r>
      <w:r w:rsidRPr="0019663E">
        <w:rPr>
          <w:rFonts w:ascii="Calibri" w:hAnsi="Calibri" w:cs="Calibri"/>
          <w:i/>
          <w:iCs/>
          <w:noProof/>
          <w:szCs w:val="24"/>
        </w:rPr>
        <w:t>Critical Perspectives on Accounting</w:t>
      </w:r>
      <w:r w:rsidRPr="0019663E">
        <w:rPr>
          <w:rFonts w:ascii="Calibri" w:hAnsi="Calibri" w:cs="Calibri"/>
          <w:noProof/>
          <w:szCs w:val="24"/>
        </w:rPr>
        <w:t xml:space="preserve">, </w:t>
      </w:r>
      <w:r w:rsidRPr="0019663E">
        <w:rPr>
          <w:rFonts w:ascii="Calibri" w:hAnsi="Calibri" w:cs="Calibri"/>
          <w:i/>
          <w:iCs/>
          <w:noProof/>
          <w:szCs w:val="24"/>
        </w:rPr>
        <w:t>10</w:t>
      </w:r>
      <w:r w:rsidRPr="0019663E">
        <w:rPr>
          <w:rFonts w:ascii="Calibri" w:hAnsi="Calibri" w:cs="Calibri"/>
          <w:noProof/>
          <w:szCs w:val="24"/>
        </w:rPr>
        <w:t>(6), 833-866.</w:t>
      </w:r>
    </w:p>
    <w:p w14:paraId="3BC1EDAE"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Miller, P. y O’Leary, T. (2009). La contabilidad y la construcción de la persona gobernable. En </w:t>
      </w:r>
      <w:r w:rsidRPr="0019663E">
        <w:rPr>
          <w:rFonts w:ascii="Calibri" w:hAnsi="Calibri" w:cs="Calibri"/>
          <w:i/>
          <w:iCs/>
          <w:noProof/>
          <w:szCs w:val="24"/>
        </w:rPr>
        <w:t>Avances Interdisciplinarios para una Comprensión Crítica de la Contabilidad. Textos Paradigmáticos de las Corrientes Heterodoxas</w:t>
      </w:r>
      <w:r w:rsidRPr="0019663E">
        <w:rPr>
          <w:rFonts w:ascii="Calibri" w:hAnsi="Calibri" w:cs="Calibri"/>
          <w:noProof/>
          <w:szCs w:val="24"/>
        </w:rPr>
        <w:t>. Universidad de Antioquia y Universidad Nacional de Colombia.</w:t>
      </w:r>
    </w:p>
    <w:p w14:paraId="19C81244"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Narváez Castillo, V. (2019). </w:t>
      </w:r>
      <w:r w:rsidRPr="0019663E">
        <w:rPr>
          <w:rFonts w:ascii="Calibri" w:hAnsi="Calibri" w:cs="Calibri"/>
          <w:i/>
          <w:iCs/>
          <w:noProof/>
          <w:szCs w:val="24"/>
        </w:rPr>
        <w:t>Gubernamentalidad y contabilidad: un análisis de los nuevos centros de producción normativa contable a la luz de la financiarización económica</w:t>
      </w:r>
      <w:r w:rsidRPr="0019663E">
        <w:rPr>
          <w:rFonts w:ascii="Calibri" w:hAnsi="Calibri" w:cs="Calibri"/>
          <w:noProof/>
          <w:szCs w:val="24"/>
        </w:rPr>
        <w:t>. Universidad del Cauca.</w:t>
      </w:r>
    </w:p>
    <w:p w14:paraId="2B717D51"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Neimark, M. K. (1994). Regicide revisited: Marx, Foucault and accounting. </w:t>
      </w:r>
      <w:r w:rsidRPr="0019663E">
        <w:rPr>
          <w:rFonts w:ascii="Calibri" w:hAnsi="Calibri" w:cs="Calibri"/>
          <w:i/>
          <w:iCs/>
          <w:noProof/>
          <w:szCs w:val="24"/>
        </w:rPr>
        <w:t>Critical Perspectives on Accounting</w:t>
      </w:r>
      <w:r w:rsidRPr="0019663E">
        <w:rPr>
          <w:rFonts w:ascii="Calibri" w:hAnsi="Calibri" w:cs="Calibri"/>
          <w:noProof/>
          <w:szCs w:val="24"/>
        </w:rPr>
        <w:t xml:space="preserve">, </w:t>
      </w:r>
      <w:r w:rsidRPr="0019663E">
        <w:rPr>
          <w:rFonts w:ascii="Calibri" w:hAnsi="Calibri" w:cs="Calibri"/>
          <w:i/>
          <w:iCs/>
          <w:noProof/>
          <w:szCs w:val="24"/>
        </w:rPr>
        <w:t>5</w:t>
      </w:r>
      <w:r w:rsidRPr="0019663E">
        <w:rPr>
          <w:rFonts w:ascii="Calibri" w:hAnsi="Calibri" w:cs="Calibri"/>
          <w:noProof/>
          <w:szCs w:val="24"/>
        </w:rPr>
        <w:t>(1), 87-108.</w:t>
      </w:r>
    </w:p>
    <w:p w14:paraId="3BE15242" w14:textId="0757E5D1"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Ocampo, C. A. (2017). Contabilidad pública: ¿Instrumento de gobierno neoliberal de las poblaciones? </w:t>
      </w:r>
      <w:r w:rsidRPr="0019663E">
        <w:rPr>
          <w:rFonts w:ascii="Calibri" w:hAnsi="Calibri" w:cs="Calibri"/>
          <w:i/>
          <w:iCs/>
          <w:noProof/>
          <w:szCs w:val="24"/>
        </w:rPr>
        <w:t>Revista En-contexto</w:t>
      </w:r>
      <w:r w:rsidRPr="0019663E">
        <w:rPr>
          <w:rFonts w:ascii="Calibri" w:hAnsi="Calibri" w:cs="Calibri"/>
          <w:noProof/>
          <w:szCs w:val="24"/>
        </w:rPr>
        <w:t xml:space="preserve">, </w:t>
      </w:r>
      <w:r w:rsidRPr="0019663E">
        <w:rPr>
          <w:rFonts w:ascii="Calibri" w:hAnsi="Calibri" w:cs="Calibri"/>
          <w:i/>
          <w:iCs/>
          <w:noProof/>
          <w:szCs w:val="24"/>
        </w:rPr>
        <w:t>7</w:t>
      </w:r>
      <w:r w:rsidRPr="0019663E">
        <w:rPr>
          <w:rFonts w:ascii="Calibri" w:hAnsi="Calibri" w:cs="Calibri"/>
          <w:noProof/>
          <w:szCs w:val="24"/>
        </w:rPr>
        <w:t>, 205-223.</w:t>
      </w:r>
    </w:p>
    <w:p w14:paraId="4E1D92E8" w14:textId="1998114C"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Ocampo, C. A. (2018). Un panorama del efecto Foucault en contabilidad y gestión pública temáticas, autores y retos de investigación desde la gubernamentalidad. </w:t>
      </w:r>
      <w:r w:rsidRPr="0019663E">
        <w:rPr>
          <w:rFonts w:ascii="Calibri" w:hAnsi="Calibri" w:cs="Calibri"/>
          <w:i/>
          <w:iCs/>
          <w:noProof/>
          <w:szCs w:val="24"/>
        </w:rPr>
        <w:t>Cuadernos de Contabilidad</w:t>
      </w:r>
      <w:r w:rsidRPr="0019663E">
        <w:rPr>
          <w:rFonts w:ascii="Calibri" w:hAnsi="Calibri" w:cs="Calibri"/>
          <w:noProof/>
          <w:szCs w:val="24"/>
        </w:rPr>
        <w:t xml:space="preserve">, </w:t>
      </w:r>
      <w:r w:rsidRPr="0019663E">
        <w:rPr>
          <w:rFonts w:ascii="Calibri" w:hAnsi="Calibri" w:cs="Calibri"/>
          <w:i/>
          <w:iCs/>
          <w:noProof/>
          <w:szCs w:val="24"/>
        </w:rPr>
        <w:t>19</w:t>
      </w:r>
      <w:r w:rsidRPr="0019663E">
        <w:rPr>
          <w:rFonts w:ascii="Calibri" w:hAnsi="Calibri" w:cs="Calibri"/>
          <w:noProof/>
          <w:szCs w:val="24"/>
        </w:rPr>
        <w:t>(47), 60-79.</w:t>
      </w:r>
    </w:p>
    <w:p w14:paraId="5F999B75"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Ospina, C. M., Gómez, M. y Rojas, W. (2014). La constitución de la subjetividad en la educación contable: del proceso implícito a la visibilización de sus impactos. </w:t>
      </w:r>
      <w:r w:rsidRPr="0019663E">
        <w:rPr>
          <w:rFonts w:ascii="Calibri" w:hAnsi="Calibri" w:cs="Calibri"/>
          <w:i/>
          <w:iCs/>
          <w:noProof/>
          <w:szCs w:val="24"/>
        </w:rPr>
        <w:t>Cuadernos de Contabilidad</w:t>
      </w:r>
      <w:r w:rsidRPr="0019663E">
        <w:rPr>
          <w:rFonts w:ascii="Calibri" w:hAnsi="Calibri" w:cs="Calibri"/>
          <w:noProof/>
          <w:szCs w:val="24"/>
        </w:rPr>
        <w:t xml:space="preserve">, </w:t>
      </w:r>
      <w:r w:rsidRPr="0019663E">
        <w:rPr>
          <w:rFonts w:ascii="Calibri" w:hAnsi="Calibri" w:cs="Calibri"/>
          <w:i/>
          <w:iCs/>
          <w:noProof/>
          <w:szCs w:val="24"/>
        </w:rPr>
        <w:t>15</w:t>
      </w:r>
      <w:r w:rsidRPr="0019663E">
        <w:rPr>
          <w:rFonts w:ascii="Calibri" w:hAnsi="Calibri" w:cs="Calibri"/>
          <w:noProof/>
          <w:szCs w:val="24"/>
        </w:rPr>
        <w:t>(37), 64.</w:t>
      </w:r>
    </w:p>
    <w:p w14:paraId="22EDB4CB"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Pineda, J. M. (2009). Poder, organización productiva y contabilidad–Preludio–. </w:t>
      </w:r>
      <w:r w:rsidRPr="0019663E">
        <w:rPr>
          <w:rFonts w:ascii="Calibri" w:hAnsi="Calibri" w:cs="Calibri"/>
          <w:i/>
          <w:iCs/>
          <w:noProof/>
          <w:szCs w:val="24"/>
        </w:rPr>
        <w:t>Contaduría Universidad de Antioquia</w:t>
      </w:r>
      <w:r w:rsidRPr="0019663E">
        <w:rPr>
          <w:rFonts w:ascii="Calibri" w:hAnsi="Calibri" w:cs="Calibri"/>
          <w:noProof/>
          <w:szCs w:val="24"/>
        </w:rPr>
        <w:t xml:space="preserve">, </w:t>
      </w:r>
      <w:r w:rsidRPr="0019663E">
        <w:rPr>
          <w:rFonts w:ascii="Calibri" w:hAnsi="Calibri" w:cs="Calibri"/>
          <w:i/>
          <w:iCs/>
          <w:noProof/>
          <w:szCs w:val="24"/>
        </w:rPr>
        <w:t>55</w:t>
      </w:r>
      <w:r w:rsidRPr="0019663E">
        <w:rPr>
          <w:rFonts w:ascii="Calibri" w:hAnsi="Calibri" w:cs="Calibri"/>
          <w:noProof/>
          <w:szCs w:val="24"/>
        </w:rPr>
        <w:t>, 103-130.</w:t>
      </w:r>
    </w:p>
    <w:p w14:paraId="143D88B2" w14:textId="3C99BBC4"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Quintero Cardona, A. C. (2020). </w:t>
      </w:r>
      <w:r w:rsidRPr="0019663E">
        <w:rPr>
          <w:rFonts w:ascii="Calibri" w:hAnsi="Calibri" w:cs="Calibri"/>
          <w:i/>
          <w:iCs/>
          <w:noProof/>
          <w:szCs w:val="24"/>
        </w:rPr>
        <w:t>El papel de la contabilidad en los procesos de subjetivación en la empresa neoliberal : un estudio de caso de un banco en Colombia.</w:t>
      </w:r>
      <w:r w:rsidRPr="0019663E">
        <w:rPr>
          <w:rFonts w:ascii="Calibri" w:hAnsi="Calibri" w:cs="Calibri"/>
          <w:noProof/>
          <w:szCs w:val="24"/>
        </w:rPr>
        <w:t xml:space="preserve"> Universidad del Vallle.</w:t>
      </w:r>
      <w:r w:rsidR="003F4031" w:rsidRPr="003F4031">
        <w:t xml:space="preserve"> </w:t>
      </w:r>
      <w:r w:rsidR="003F4031" w:rsidRPr="003F4031">
        <w:rPr>
          <w:rFonts w:ascii="Calibri" w:hAnsi="Calibri" w:cs="Calibri"/>
          <w:noProof/>
          <w:szCs w:val="24"/>
        </w:rPr>
        <w:t>https://bibliotecadigital.univalle.edu.co/handle/10893/18484</w:t>
      </w:r>
    </w:p>
    <w:p w14:paraId="17B1C9F1"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Quintero, H. (2010). La perspectiva foucaultiana y la contabilidad: una mirada a las relaciones de poder en las organizaciones. En C. Barrios &amp; W. Rojas (Eds.), </w:t>
      </w:r>
      <w:r w:rsidRPr="0019663E">
        <w:rPr>
          <w:rFonts w:ascii="Calibri" w:hAnsi="Calibri" w:cs="Calibri"/>
          <w:i/>
          <w:iCs/>
          <w:noProof/>
          <w:szCs w:val="24"/>
        </w:rPr>
        <w:t>Perspectivas críticas de la contabilidad contemporánea. Conjunciones y disertaciones: Pensando la contabilidad en el siglo XXI</w:t>
      </w:r>
      <w:r w:rsidRPr="0019663E">
        <w:rPr>
          <w:rFonts w:ascii="Calibri" w:hAnsi="Calibri" w:cs="Calibri"/>
          <w:noProof/>
          <w:szCs w:val="24"/>
        </w:rPr>
        <w:t xml:space="preserve"> (pp. 85-99). Universidad del Valle &amp; Pontificia Universidad Javeriana.</w:t>
      </w:r>
    </w:p>
    <w:p w14:paraId="1A9CDBA6" w14:textId="33C7F894"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Rivera, E. (2012). Foucault: His influence over accounting and management research. Building of a map of Foucault’s approach. </w:t>
      </w:r>
      <w:r w:rsidRPr="0019663E">
        <w:rPr>
          <w:rFonts w:ascii="Calibri" w:hAnsi="Calibri" w:cs="Calibri"/>
          <w:i/>
          <w:iCs/>
          <w:noProof/>
          <w:szCs w:val="24"/>
        </w:rPr>
        <w:t>International Journal of Critical Accounting</w:t>
      </w:r>
      <w:r w:rsidRPr="0019663E">
        <w:rPr>
          <w:rFonts w:ascii="Calibri" w:hAnsi="Calibri" w:cs="Calibri"/>
          <w:noProof/>
          <w:szCs w:val="24"/>
        </w:rPr>
        <w:t xml:space="preserve">, </w:t>
      </w:r>
      <w:r w:rsidRPr="0019663E">
        <w:rPr>
          <w:rFonts w:ascii="Calibri" w:hAnsi="Calibri" w:cs="Calibri"/>
          <w:i/>
          <w:iCs/>
          <w:noProof/>
          <w:szCs w:val="24"/>
        </w:rPr>
        <w:t>4</w:t>
      </w:r>
      <w:r w:rsidRPr="0019663E">
        <w:rPr>
          <w:rFonts w:ascii="Calibri" w:hAnsi="Calibri" w:cs="Calibri"/>
          <w:noProof/>
          <w:szCs w:val="24"/>
        </w:rPr>
        <w:t xml:space="preserve">(5/6), 728. </w:t>
      </w:r>
    </w:p>
    <w:p w14:paraId="0EA33285" w14:textId="3C4B6755"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Roslender, R. (1992). Sociological Perspectives on Modern Accountancy. En </w:t>
      </w:r>
      <w:r w:rsidRPr="0019663E">
        <w:rPr>
          <w:rFonts w:ascii="Calibri" w:hAnsi="Calibri" w:cs="Calibri"/>
          <w:i/>
          <w:iCs/>
          <w:noProof/>
          <w:szCs w:val="24"/>
        </w:rPr>
        <w:t>Contemporary Sociology</w:t>
      </w:r>
      <w:r w:rsidRPr="0019663E">
        <w:rPr>
          <w:rFonts w:ascii="Calibri" w:hAnsi="Calibri" w:cs="Calibri"/>
          <w:noProof/>
          <w:szCs w:val="24"/>
        </w:rPr>
        <w:t xml:space="preserve"> (Vol. 22, Número 5). </w:t>
      </w:r>
    </w:p>
    <w:p w14:paraId="25D5C92C"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Roslender, R. (2017a). </w:t>
      </w:r>
      <w:r w:rsidRPr="0019663E">
        <w:rPr>
          <w:rFonts w:ascii="Calibri" w:hAnsi="Calibri" w:cs="Calibri"/>
          <w:i/>
          <w:iCs/>
          <w:noProof/>
          <w:szCs w:val="24"/>
        </w:rPr>
        <w:t>Perspectivas sociológicas de la contabilidad moderna</w:t>
      </w:r>
      <w:r w:rsidRPr="0019663E">
        <w:rPr>
          <w:rFonts w:ascii="Calibri" w:hAnsi="Calibri" w:cs="Calibri"/>
          <w:noProof/>
          <w:szCs w:val="24"/>
        </w:rPr>
        <w:t>. Pontificia Universidad Javeriana.</w:t>
      </w:r>
    </w:p>
    <w:p w14:paraId="159360F2"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Roslender, R. (2017b). </w:t>
      </w:r>
      <w:r w:rsidRPr="0019663E">
        <w:rPr>
          <w:rFonts w:ascii="Calibri" w:hAnsi="Calibri" w:cs="Calibri"/>
          <w:i/>
          <w:iCs/>
          <w:noProof/>
          <w:szCs w:val="24"/>
        </w:rPr>
        <w:t>The Routledge Companion to Critical Accounting</w:t>
      </w:r>
      <w:r w:rsidRPr="0019663E">
        <w:rPr>
          <w:rFonts w:ascii="Calibri" w:hAnsi="Calibri" w:cs="Calibri"/>
          <w:noProof/>
          <w:szCs w:val="24"/>
        </w:rPr>
        <w:t>. Routledge.</w:t>
      </w:r>
    </w:p>
    <w:p w14:paraId="51FAF416"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lastRenderedPageBreak/>
        <w:t xml:space="preserve">Ryan, B., Scapens, R. W. y Theobald, M. (2002). </w:t>
      </w:r>
      <w:r w:rsidRPr="0019663E">
        <w:rPr>
          <w:rFonts w:ascii="Calibri" w:hAnsi="Calibri" w:cs="Calibri"/>
          <w:i/>
          <w:iCs/>
          <w:noProof/>
          <w:szCs w:val="24"/>
        </w:rPr>
        <w:t>Research method and methodology in finance and accounting</w:t>
      </w:r>
      <w:r w:rsidRPr="0019663E">
        <w:rPr>
          <w:rFonts w:ascii="Calibri" w:hAnsi="Calibri" w:cs="Calibri"/>
          <w:noProof/>
          <w:szCs w:val="24"/>
        </w:rPr>
        <w:t>. Thomson.</w:t>
      </w:r>
    </w:p>
    <w:p w14:paraId="2372D778"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Smith, M. (2014). </w:t>
      </w:r>
      <w:r w:rsidRPr="0019663E">
        <w:rPr>
          <w:rFonts w:ascii="Calibri" w:hAnsi="Calibri" w:cs="Calibri"/>
          <w:i/>
          <w:iCs/>
          <w:noProof/>
          <w:szCs w:val="24"/>
        </w:rPr>
        <w:t>Research Methods in Accounting</w:t>
      </w:r>
      <w:r w:rsidRPr="0019663E">
        <w:rPr>
          <w:rFonts w:ascii="Calibri" w:hAnsi="Calibri" w:cs="Calibri"/>
          <w:noProof/>
          <w:szCs w:val="24"/>
        </w:rPr>
        <w:t>. SAGE Publications.</w:t>
      </w:r>
    </w:p>
    <w:p w14:paraId="07C0EA84"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szCs w:val="24"/>
        </w:rPr>
      </w:pPr>
      <w:r w:rsidRPr="0019663E">
        <w:rPr>
          <w:rFonts w:ascii="Calibri" w:hAnsi="Calibri" w:cs="Calibri"/>
          <w:noProof/>
          <w:szCs w:val="24"/>
        </w:rPr>
        <w:t xml:space="preserve">Stewart, R. E. (1992). Pluralizing our past: Foucault in accounting history. </w:t>
      </w:r>
      <w:r w:rsidRPr="0019663E">
        <w:rPr>
          <w:rFonts w:ascii="Calibri" w:hAnsi="Calibri" w:cs="Calibri"/>
          <w:i/>
          <w:iCs/>
          <w:noProof/>
          <w:szCs w:val="24"/>
        </w:rPr>
        <w:t>Accounting, Auditing &amp; Accountability Journal</w:t>
      </w:r>
      <w:r w:rsidRPr="0019663E">
        <w:rPr>
          <w:rFonts w:ascii="Calibri" w:hAnsi="Calibri" w:cs="Calibri"/>
          <w:noProof/>
          <w:szCs w:val="24"/>
        </w:rPr>
        <w:t xml:space="preserve">, </w:t>
      </w:r>
      <w:r w:rsidRPr="0019663E">
        <w:rPr>
          <w:rFonts w:ascii="Calibri" w:hAnsi="Calibri" w:cs="Calibri"/>
          <w:i/>
          <w:iCs/>
          <w:noProof/>
          <w:szCs w:val="24"/>
        </w:rPr>
        <w:t>5</w:t>
      </w:r>
      <w:r w:rsidRPr="0019663E">
        <w:rPr>
          <w:rFonts w:ascii="Calibri" w:hAnsi="Calibri" w:cs="Calibri"/>
          <w:noProof/>
          <w:szCs w:val="24"/>
        </w:rPr>
        <w:t>(2), 0.</w:t>
      </w:r>
    </w:p>
    <w:p w14:paraId="0EF18E37" w14:textId="77777777" w:rsidR="0019663E" w:rsidRPr="0019663E" w:rsidRDefault="0019663E" w:rsidP="0019663E">
      <w:pPr>
        <w:widowControl w:val="0"/>
        <w:autoSpaceDE w:val="0"/>
        <w:autoSpaceDN w:val="0"/>
        <w:adjustRightInd w:val="0"/>
        <w:spacing w:after="100" w:line="240" w:lineRule="auto"/>
        <w:ind w:left="480" w:hanging="480"/>
        <w:rPr>
          <w:rFonts w:ascii="Calibri" w:hAnsi="Calibri" w:cs="Calibri"/>
          <w:noProof/>
        </w:rPr>
      </w:pPr>
      <w:r w:rsidRPr="0019663E">
        <w:rPr>
          <w:rFonts w:ascii="Calibri" w:hAnsi="Calibri" w:cs="Calibri"/>
          <w:noProof/>
          <w:szCs w:val="24"/>
        </w:rPr>
        <w:t xml:space="preserve">Trillos-Peña, C. E. (2017). La pregunta, eje de la investigación. Un reto para el investigador. </w:t>
      </w:r>
      <w:r w:rsidRPr="0019663E">
        <w:rPr>
          <w:rFonts w:ascii="Calibri" w:hAnsi="Calibri" w:cs="Calibri"/>
          <w:i/>
          <w:iCs/>
          <w:noProof/>
          <w:szCs w:val="24"/>
        </w:rPr>
        <w:t>Revista Ciencias de la Salud</w:t>
      </w:r>
      <w:r w:rsidRPr="0019663E">
        <w:rPr>
          <w:rFonts w:ascii="Calibri" w:hAnsi="Calibri" w:cs="Calibri"/>
          <w:noProof/>
          <w:szCs w:val="24"/>
        </w:rPr>
        <w:t xml:space="preserve">, </w:t>
      </w:r>
      <w:r w:rsidRPr="0019663E">
        <w:rPr>
          <w:rFonts w:ascii="Calibri" w:hAnsi="Calibri" w:cs="Calibri"/>
          <w:i/>
          <w:iCs/>
          <w:noProof/>
          <w:szCs w:val="24"/>
        </w:rPr>
        <w:t>15</w:t>
      </w:r>
      <w:r w:rsidRPr="0019663E">
        <w:rPr>
          <w:rFonts w:ascii="Calibri" w:hAnsi="Calibri" w:cs="Calibri"/>
          <w:noProof/>
          <w:szCs w:val="24"/>
        </w:rPr>
        <w:t>(3), 309-312.</w:t>
      </w:r>
    </w:p>
    <w:p w14:paraId="72CB69A5" w14:textId="32053CB2" w:rsidR="00846B55" w:rsidRPr="004C174D" w:rsidRDefault="00DD70D5" w:rsidP="00FF14D4">
      <w:pPr>
        <w:widowControl w:val="0"/>
        <w:autoSpaceDE w:val="0"/>
        <w:autoSpaceDN w:val="0"/>
        <w:adjustRightInd w:val="0"/>
        <w:spacing w:after="100" w:line="240" w:lineRule="auto"/>
        <w:ind w:left="480" w:hanging="480"/>
        <w:rPr>
          <w:rFonts w:cstheme="minorHAnsi"/>
        </w:rPr>
      </w:pPr>
      <w:r w:rsidRPr="004C174D">
        <w:rPr>
          <w:rFonts w:cstheme="minorHAnsi"/>
        </w:rPr>
        <w:fldChar w:fldCharType="end"/>
      </w:r>
    </w:p>
    <w:sectPr w:rsidR="00846B55" w:rsidRPr="004C174D" w:rsidSect="00DD70D5">
      <w:pgSz w:w="11906" w:h="16838" w:code="9"/>
      <w:pgMar w:top="1418" w:right="1418" w:bottom="1418" w:left="1418" w:header="709" w:footer="709" w:gutter="0"/>
      <w:pgBorders w:display="firstPage"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6F82E9" w14:textId="77777777" w:rsidR="00F657D7" w:rsidRDefault="00F657D7" w:rsidP="00592BD9">
      <w:pPr>
        <w:spacing w:after="0" w:line="240" w:lineRule="auto"/>
      </w:pPr>
      <w:r>
        <w:separator/>
      </w:r>
    </w:p>
  </w:endnote>
  <w:endnote w:type="continuationSeparator" w:id="0">
    <w:p w14:paraId="68B43CC1" w14:textId="77777777" w:rsidR="00F657D7" w:rsidRDefault="00F657D7" w:rsidP="00592BD9">
      <w:pPr>
        <w:spacing w:after="0" w:line="240" w:lineRule="auto"/>
      </w:pPr>
      <w:r>
        <w:continuationSeparator/>
      </w:r>
    </w:p>
  </w:endnote>
  <w:endnote w:type="continuationNotice" w:id="1">
    <w:p w14:paraId="38313AE1" w14:textId="77777777" w:rsidR="00F657D7" w:rsidRDefault="00F657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ncizar Sans">
    <w:panose1 w:val="020B0602040300000003"/>
    <w:charset w:val="00"/>
    <w:family w:val="swiss"/>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08CBE" w14:textId="77777777" w:rsidR="00F657D7" w:rsidRDefault="00F657D7" w:rsidP="00592BD9">
      <w:pPr>
        <w:spacing w:after="0" w:line="240" w:lineRule="auto"/>
      </w:pPr>
      <w:r>
        <w:separator/>
      </w:r>
    </w:p>
  </w:footnote>
  <w:footnote w:type="continuationSeparator" w:id="0">
    <w:p w14:paraId="7D4286DC" w14:textId="77777777" w:rsidR="00F657D7" w:rsidRDefault="00F657D7" w:rsidP="00592BD9">
      <w:pPr>
        <w:spacing w:after="0" w:line="240" w:lineRule="auto"/>
      </w:pPr>
      <w:r>
        <w:continuationSeparator/>
      </w:r>
    </w:p>
  </w:footnote>
  <w:footnote w:type="continuationNotice" w:id="1">
    <w:p w14:paraId="3C3F9CA6" w14:textId="77777777" w:rsidR="00F657D7" w:rsidRDefault="00F657D7">
      <w:pPr>
        <w:spacing w:after="0" w:line="240" w:lineRule="auto"/>
      </w:pPr>
    </w:p>
  </w:footnote>
  <w:footnote w:id="2">
    <w:p w14:paraId="77E2D201" w14:textId="00016854" w:rsidR="00592BD9" w:rsidRPr="00EA66AC" w:rsidRDefault="00592BD9">
      <w:pPr>
        <w:pStyle w:val="Textonotapie"/>
        <w:rPr>
          <w:rFonts w:ascii="Arial" w:hAnsi="Arial" w:cs="Arial"/>
          <w:sz w:val="18"/>
          <w:szCs w:val="18"/>
        </w:rPr>
      </w:pPr>
      <w:r w:rsidRPr="00EA66AC">
        <w:rPr>
          <w:rStyle w:val="Refdenotaalpie"/>
          <w:rFonts w:ascii="Arial" w:hAnsi="Arial" w:cs="Arial"/>
          <w:sz w:val="18"/>
          <w:szCs w:val="18"/>
        </w:rPr>
        <w:footnoteRef/>
      </w:r>
      <w:r w:rsidRPr="00EA66AC">
        <w:rPr>
          <w:rFonts w:ascii="Arial" w:hAnsi="Arial" w:cs="Arial"/>
          <w:sz w:val="18"/>
          <w:szCs w:val="18"/>
        </w:rPr>
        <w:t xml:space="preserve"> </w:t>
      </w:r>
      <w:hyperlink r:id="rId1" w:history="1">
        <w:r w:rsidRPr="00EA66AC">
          <w:rPr>
            <w:rStyle w:val="Hipervnculo"/>
            <w:rFonts w:ascii="Arial" w:hAnsi="Arial" w:cs="Arial"/>
            <w:sz w:val="18"/>
            <w:szCs w:val="18"/>
          </w:rPr>
          <w:t>https://www.rayyan.ai/</w:t>
        </w:r>
      </w:hyperlink>
      <w:r w:rsidRPr="00EA66AC">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73E342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EDE08DD"/>
    <w:multiLevelType w:val="hybridMultilevel"/>
    <w:tmpl w:val="FFFFFFFF"/>
    <w:lvl w:ilvl="0" w:tplc="524EE28A">
      <w:start w:val="1"/>
      <w:numFmt w:val="decimal"/>
      <w:lvlText w:val="%1."/>
      <w:lvlJc w:val="left"/>
      <w:pPr>
        <w:ind w:left="720" w:hanging="360"/>
      </w:pPr>
    </w:lvl>
    <w:lvl w:ilvl="1" w:tplc="4C6AFB46">
      <w:start w:val="1"/>
      <w:numFmt w:val="lowerLetter"/>
      <w:lvlText w:val="%2."/>
      <w:lvlJc w:val="left"/>
      <w:pPr>
        <w:ind w:left="1440" w:hanging="360"/>
      </w:pPr>
    </w:lvl>
    <w:lvl w:ilvl="2" w:tplc="2E5AA498">
      <w:start w:val="1"/>
      <w:numFmt w:val="lowerRoman"/>
      <w:lvlText w:val="%3."/>
      <w:lvlJc w:val="right"/>
      <w:pPr>
        <w:ind w:left="2160" w:hanging="180"/>
      </w:pPr>
    </w:lvl>
    <w:lvl w:ilvl="3" w:tplc="0CBCC3A4">
      <w:start w:val="1"/>
      <w:numFmt w:val="decimal"/>
      <w:lvlText w:val="%4."/>
      <w:lvlJc w:val="left"/>
      <w:pPr>
        <w:ind w:left="2880" w:hanging="360"/>
      </w:pPr>
    </w:lvl>
    <w:lvl w:ilvl="4" w:tplc="1944A2B8">
      <w:start w:val="1"/>
      <w:numFmt w:val="lowerLetter"/>
      <w:lvlText w:val="%5."/>
      <w:lvlJc w:val="left"/>
      <w:pPr>
        <w:ind w:left="3600" w:hanging="360"/>
      </w:pPr>
    </w:lvl>
    <w:lvl w:ilvl="5" w:tplc="0C6852AC">
      <w:start w:val="1"/>
      <w:numFmt w:val="lowerRoman"/>
      <w:lvlText w:val="%6."/>
      <w:lvlJc w:val="right"/>
      <w:pPr>
        <w:ind w:left="4320" w:hanging="180"/>
      </w:pPr>
    </w:lvl>
    <w:lvl w:ilvl="6" w:tplc="F1E21CE8">
      <w:start w:val="1"/>
      <w:numFmt w:val="decimal"/>
      <w:lvlText w:val="%7."/>
      <w:lvlJc w:val="left"/>
      <w:pPr>
        <w:ind w:left="5040" w:hanging="360"/>
      </w:pPr>
    </w:lvl>
    <w:lvl w:ilvl="7" w:tplc="38B85D9C">
      <w:start w:val="1"/>
      <w:numFmt w:val="lowerLetter"/>
      <w:lvlText w:val="%8."/>
      <w:lvlJc w:val="left"/>
      <w:pPr>
        <w:ind w:left="5760" w:hanging="360"/>
      </w:pPr>
    </w:lvl>
    <w:lvl w:ilvl="8" w:tplc="9FFE5174">
      <w:start w:val="1"/>
      <w:numFmt w:val="lowerRoman"/>
      <w:lvlText w:val="%9."/>
      <w:lvlJc w:val="right"/>
      <w:pPr>
        <w:ind w:left="6480" w:hanging="180"/>
      </w:pPr>
    </w:lvl>
  </w:abstractNum>
  <w:abstractNum w:abstractNumId="2" w15:restartNumberingAfterBreak="0">
    <w:nsid w:val="0F2598D3"/>
    <w:multiLevelType w:val="hybridMultilevel"/>
    <w:tmpl w:val="16B5150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7A65F3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81924E1"/>
    <w:multiLevelType w:val="hybridMultilevel"/>
    <w:tmpl w:val="2946ED94"/>
    <w:lvl w:ilvl="0" w:tplc="2D4075AE">
      <w:start w:val="1"/>
      <w:numFmt w:val="decimal"/>
      <w:lvlText w:val="%1."/>
      <w:lvlJc w:val="left"/>
      <w:pPr>
        <w:ind w:left="720" w:hanging="360"/>
      </w:pPr>
    </w:lvl>
    <w:lvl w:ilvl="1" w:tplc="1A127C2E">
      <w:start w:val="1"/>
      <w:numFmt w:val="lowerLetter"/>
      <w:lvlText w:val="%2."/>
      <w:lvlJc w:val="left"/>
      <w:pPr>
        <w:ind w:left="1440" w:hanging="360"/>
      </w:pPr>
    </w:lvl>
    <w:lvl w:ilvl="2" w:tplc="5A608E7C">
      <w:start w:val="1"/>
      <w:numFmt w:val="lowerRoman"/>
      <w:lvlText w:val="%3."/>
      <w:lvlJc w:val="right"/>
      <w:pPr>
        <w:ind w:left="2160" w:hanging="180"/>
      </w:pPr>
    </w:lvl>
    <w:lvl w:ilvl="3" w:tplc="9C9C820A">
      <w:start w:val="1"/>
      <w:numFmt w:val="decimal"/>
      <w:lvlText w:val="%4."/>
      <w:lvlJc w:val="left"/>
      <w:pPr>
        <w:ind w:left="2880" w:hanging="360"/>
      </w:pPr>
    </w:lvl>
    <w:lvl w:ilvl="4" w:tplc="20C6D0A0">
      <w:start w:val="1"/>
      <w:numFmt w:val="lowerLetter"/>
      <w:lvlText w:val="%5."/>
      <w:lvlJc w:val="left"/>
      <w:pPr>
        <w:ind w:left="3600" w:hanging="360"/>
      </w:pPr>
    </w:lvl>
    <w:lvl w:ilvl="5" w:tplc="3500B828">
      <w:start w:val="1"/>
      <w:numFmt w:val="lowerRoman"/>
      <w:lvlText w:val="%6."/>
      <w:lvlJc w:val="right"/>
      <w:pPr>
        <w:ind w:left="4320" w:hanging="180"/>
      </w:pPr>
    </w:lvl>
    <w:lvl w:ilvl="6" w:tplc="687CF788">
      <w:start w:val="1"/>
      <w:numFmt w:val="decimal"/>
      <w:lvlText w:val="%7."/>
      <w:lvlJc w:val="left"/>
      <w:pPr>
        <w:ind w:left="5040" w:hanging="360"/>
      </w:pPr>
    </w:lvl>
    <w:lvl w:ilvl="7" w:tplc="A52E70A2">
      <w:start w:val="1"/>
      <w:numFmt w:val="lowerLetter"/>
      <w:lvlText w:val="%8."/>
      <w:lvlJc w:val="left"/>
      <w:pPr>
        <w:ind w:left="5760" w:hanging="360"/>
      </w:pPr>
    </w:lvl>
    <w:lvl w:ilvl="8" w:tplc="6F22D3A8">
      <w:start w:val="1"/>
      <w:numFmt w:val="lowerRoman"/>
      <w:lvlText w:val="%9."/>
      <w:lvlJc w:val="right"/>
      <w:pPr>
        <w:ind w:left="6480" w:hanging="180"/>
      </w:pPr>
    </w:lvl>
  </w:abstractNum>
  <w:abstractNum w:abstractNumId="5" w15:restartNumberingAfterBreak="0">
    <w:nsid w:val="185A742F"/>
    <w:multiLevelType w:val="multilevel"/>
    <w:tmpl w:val="EB9C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172A28"/>
    <w:multiLevelType w:val="hybridMultilevel"/>
    <w:tmpl w:val="04581296"/>
    <w:lvl w:ilvl="0" w:tplc="694ACEFA">
      <w:start w:val="1"/>
      <w:numFmt w:val="decimal"/>
      <w:lvlText w:val="%1."/>
      <w:lvlJc w:val="left"/>
      <w:pPr>
        <w:ind w:left="720" w:hanging="360"/>
      </w:pPr>
    </w:lvl>
    <w:lvl w:ilvl="1" w:tplc="F30EE952">
      <w:start w:val="1"/>
      <w:numFmt w:val="lowerLetter"/>
      <w:lvlText w:val="%2."/>
      <w:lvlJc w:val="left"/>
      <w:pPr>
        <w:ind w:left="1440" w:hanging="360"/>
      </w:pPr>
    </w:lvl>
    <w:lvl w:ilvl="2" w:tplc="959AC234">
      <w:start w:val="1"/>
      <w:numFmt w:val="lowerRoman"/>
      <w:lvlText w:val="%3."/>
      <w:lvlJc w:val="right"/>
      <w:pPr>
        <w:ind w:left="2160" w:hanging="180"/>
      </w:pPr>
    </w:lvl>
    <w:lvl w:ilvl="3" w:tplc="D86E8E56">
      <w:start w:val="1"/>
      <w:numFmt w:val="decimal"/>
      <w:lvlText w:val="%4."/>
      <w:lvlJc w:val="left"/>
      <w:pPr>
        <w:ind w:left="2880" w:hanging="360"/>
      </w:pPr>
    </w:lvl>
    <w:lvl w:ilvl="4" w:tplc="020E243E">
      <w:start w:val="1"/>
      <w:numFmt w:val="lowerLetter"/>
      <w:lvlText w:val="%5."/>
      <w:lvlJc w:val="left"/>
      <w:pPr>
        <w:ind w:left="3600" w:hanging="360"/>
      </w:pPr>
    </w:lvl>
    <w:lvl w:ilvl="5" w:tplc="9F807DA0">
      <w:start w:val="1"/>
      <w:numFmt w:val="lowerRoman"/>
      <w:lvlText w:val="%6."/>
      <w:lvlJc w:val="right"/>
      <w:pPr>
        <w:ind w:left="4320" w:hanging="180"/>
      </w:pPr>
    </w:lvl>
    <w:lvl w:ilvl="6" w:tplc="F0744718">
      <w:start w:val="1"/>
      <w:numFmt w:val="decimal"/>
      <w:lvlText w:val="%7."/>
      <w:lvlJc w:val="left"/>
      <w:pPr>
        <w:ind w:left="5040" w:hanging="360"/>
      </w:pPr>
    </w:lvl>
    <w:lvl w:ilvl="7" w:tplc="B83C7A98">
      <w:start w:val="1"/>
      <w:numFmt w:val="lowerLetter"/>
      <w:lvlText w:val="%8."/>
      <w:lvlJc w:val="left"/>
      <w:pPr>
        <w:ind w:left="5760" w:hanging="360"/>
      </w:pPr>
    </w:lvl>
    <w:lvl w:ilvl="8" w:tplc="8E723CD2">
      <w:start w:val="1"/>
      <w:numFmt w:val="lowerRoman"/>
      <w:lvlText w:val="%9."/>
      <w:lvlJc w:val="right"/>
      <w:pPr>
        <w:ind w:left="6480" w:hanging="180"/>
      </w:pPr>
    </w:lvl>
  </w:abstractNum>
  <w:abstractNum w:abstractNumId="7" w15:restartNumberingAfterBreak="0">
    <w:nsid w:val="3A07524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76D5B1C"/>
    <w:multiLevelType w:val="hybridMultilevel"/>
    <w:tmpl w:val="1D603912"/>
    <w:lvl w:ilvl="0" w:tplc="FA7285B0">
      <w:start w:val="1"/>
      <w:numFmt w:val="decimal"/>
      <w:lvlText w:val="%1."/>
      <w:lvlJc w:val="left"/>
      <w:pPr>
        <w:ind w:left="720" w:hanging="360"/>
      </w:pPr>
    </w:lvl>
    <w:lvl w:ilvl="1" w:tplc="40E0448A">
      <w:start w:val="1"/>
      <w:numFmt w:val="lowerLetter"/>
      <w:lvlText w:val="%2."/>
      <w:lvlJc w:val="left"/>
      <w:pPr>
        <w:ind w:left="1440" w:hanging="360"/>
      </w:pPr>
    </w:lvl>
    <w:lvl w:ilvl="2" w:tplc="C00C32AE">
      <w:start w:val="1"/>
      <w:numFmt w:val="lowerRoman"/>
      <w:lvlText w:val="%3."/>
      <w:lvlJc w:val="right"/>
      <w:pPr>
        <w:ind w:left="2160" w:hanging="180"/>
      </w:pPr>
    </w:lvl>
    <w:lvl w:ilvl="3" w:tplc="A66C0AE6">
      <w:start w:val="1"/>
      <w:numFmt w:val="decimal"/>
      <w:lvlText w:val="%4."/>
      <w:lvlJc w:val="left"/>
      <w:pPr>
        <w:ind w:left="2880" w:hanging="360"/>
      </w:pPr>
    </w:lvl>
    <w:lvl w:ilvl="4" w:tplc="5D9810A4">
      <w:start w:val="1"/>
      <w:numFmt w:val="lowerLetter"/>
      <w:lvlText w:val="%5."/>
      <w:lvlJc w:val="left"/>
      <w:pPr>
        <w:ind w:left="3600" w:hanging="360"/>
      </w:pPr>
    </w:lvl>
    <w:lvl w:ilvl="5" w:tplc="C134A0CE">
      <w:start w:val="1"/>
      <w:numFmt w:val="lowerRoman"/>
      <w:lvlText w:val="%6."/>
      <w:lvlJc w:val="right"/>
      <w:pPr>
        <w:ind w:left="4320" w:hanging="180"/>
      </w:pPr>
    </w:lvl>
    <w:lvl w:ilvl="6" w:tplc="9D403C0C">
      <w:start w:val="1"/>
      <w:numFmt w:val="decimal"/>
      <w:lvlText w:val="%7."/>
      <w:lvlJc w:val="left"/>
      <w:pPr>
        <w:ind w:left="5040" w:hanging="360"/>
      </w:pPr>
    </w:lvl>
    <w:lvl w:ilvl="7" w:tplc="21C0126A">
      <w:start w:val="1"/>
      <w:numFmt w:val="lowerLetter"/>
      <w:lvlText w:val="%8."/>
      <w:lvlJc w:val="left"/>
      <w:pPr>
        <w:ind w:left="5760" w:hanging="360"/>
      </w:pPr>
    </w:lvl>
    <w:lvl w:ilvl="8" w:tplc="B2144D50">
      <w:start w:val="1"/>
      <w:numFmt w:val="lowerRoman"/>
      <w:lvlText w:val="%9."/>
      <w:lvlJc w:val="right"/>
      <w:pPr>
        <w:ind w:left="6480" w:hanging="180"/>
      </w:pPr>
    </w:lvl>
  </w:abstractNum>
  <w:abstractNum w:abstractNumId="9" w15:restartNumberingAfterBreak="0">
    <w:nsid w:val="523C7CAA"/>
    <w:multiLevelType w:val="multilevel"/>
    <w:tmpl w:val="D48A6B02"/>
    <w:lvl w:ilvl="0">
      <w:start w:val="1"/>
      <w:numFmt w:val="decimal"/>
      <w:lvlText w:val="%1."/>
      <w:lvlJc w:val="left"/>
      <w:pPr>
        <w:ind w:left="360" w:hanging="360"/>
      </w:pPr>
    </w:lvl>
    <w:lvl w:ilvl="1">
      <w:start w:val="1"/>
      <w:numFmt w:val="upp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2AA7F10"/>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5151A58"/>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9FD2C02"/>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C046BA9"/>
    <w:multiLevelType w:val="multilevel"/>
    <w:tmpl w:val="199CE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73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8"/>
  </w:num>
  <w:num w:numId="3">
    <w:abstractNumId w:val="13"/>
  </w:num>
  <w:num w:numId="4">
    <w:abstractNumId w:val="5"/>
  </w:num>
  <w:num w:numId="5">
    <w:abstractNumId w:val="0"/>
  </w:num>
  <w:num w:numId="6">
    <w:abstractNumId w:val="2"/>
  </w:num>
  <w:num w:numId="7">
    <w:abstractNumId w:val="1"/>
  </w:num>
  <w:num w:numId="8">
    <w:abstractNumId w:val="4"/>
  </w:num>
  <w:num w:numId="9">
    <w:abstractNumId w:val="11"/>
  </w:num>
  <w:num w:numId="10">
    <w:abstractNumId w:val="7"/>
  </w:num>
  <w:num w:numId="11">
    <w:abstractNumId w:val="9"/>
  </w:num>
  <w:num w:numId="12">
    <w:abstractNumId w:val="10"/>
  </w:num>
  <w:num w:numId="13">
    <w:abstractNumId w:val="3"/>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A4E"/>
    <w:rsid w:val="0000599E"/>
    <w:rsid w:val="00007D61"/>
    <w:rsid w:val="00010B60"/>
    <w:rsid w:val="00013994"/>
    <w:rsid w:val="0001713E"/>
    <w:rsid w:val="00020853"/>
    <w:rsid w:val="00021920"/>
    <w:rsid w:val="00022A21"/>
    <w:rsid w:val="00027E3A"/>
    <w:rsid w:val="000315F1"/>
    <w:rsid w:val="0003346B"/>
    <w:rsid w:val="00034085"/>
    <w:rsid w:val="000343B7"/>
    <w:rsid w:val="000514CA"/>
    <w:rsid w:val="000574BA"/>
    <w:rsid w:val="000626D0"/>
    <w:rsid w:val="00066834"/>
    <w:rsid w:val="0007161A"/>
    <w:rsid w:val="00071FD0"/>
    <w:rsid w:val="00075138"/>
    <w:rsid w:val="00075D81"/>
    <w:rsid w:val="00076030"/>
    <w:rsid w:val="00084130"/>
    <w:rsid w:val="00084C39"/>
    <w:rsid w:val="000856E2"/>
    <w:rsid w:val="00085F7C"/>
    <w:rsid w:val="00097DC8"/>
    <w:rsid w:val="000A68BE"/>
    <w:rsid w:val="000A73CF"/>
    <w:rsid w:val="000B377A"/>
    <w:rsid w:val="000B3853"/>
    <w:rsid w:val="000C2107"/>
    <w:rsid w:val="000C3ED9"/>
    <w:rsid w:val="000D0B75"/>
    <w:rsid w:val="000D1707"/>
    <w:rsid w:val="000D2C9E"/>
    <w:rsid w:val="000D3003"/>
    <w:rsid w:val="000E03F6"/>
    <w:rsid w:val="000F03CB"/>
    <w:rsid w:val="000F5BFA"/>
    <w:rsid w:val="000F6728"/>
    <w:rsid w:val="00102BC7"/>
    <w:rsid w:val="00102F47"/>
    <w:rsid w:val="00106746"/>
    <w:rsid w:val="00110900"/>
    <w:rsid w:val="0011712A"/>
    <w:rsid w:val="00117623"/>
    <w:rsid w:val="00137A06"/>
    <w:rsid w:val="0014069B"/>
    <w:rsid w:val="00142015"/>
    <w:rsid w:val="0014219C"/>
    <w:rsid w:val="0014761E"/>
    <w:rsid w:val="00151F62"/>
    <w:rsid w:val="00152865"/>
    <w:rsid w:val="00152908"/>
    <w:rsid w:val="001534BA"/>
    <w:rsid w:val="0017340A"/>
    <w:rsid w:val="00181CCC"/>
    <w:rsid w:val="001822A8"/>
    <w:rsid w:val="0018518C"/>
    <w:rsid w:val="00194998"/>
    <w:rsid w:val="001957E7"/>
    <w:rsid w:val="0019663E"/>
    <w:rsid w:val="00196692"/>
    <w:rsid w:val="001B2980"/>
    <w:rsid w:val="001C1B86"/>
    <w:rsid w:val="001C4C65"/>
    <w:rsid w:val="001C6B47"/>
    <w:rsid w:val="001D37E3"/>
    <w:rsid w:val="001D76D5"/>
    <w:rsid w:val="001E0DEE"/>
    <w:rsid w:val="001E1869"/>
    <w:rsid w:val="001E4AFF"/>
    <w:rsid w:val="00201702"/>
    <w:rsid w:val="002078F5"/>
    <w:rsid w:val="002109D7"/>
    <w:rsid w:val="00213395"/>
    <w:rsid w:val="002259AF"/>
    <w:rsid w:val="002304EF"/>
    <w:rsid w:val="00231BE5"/>
    <w:rsid w:val="0023715B"/>
    <w:rsid w:val="00247BDF"/>
    <w:rsid w:val="00255EA5"/>
    <w:rsid w:val="00261BA4"/>
    <w:rsid w:val="0026423D"/>
    <w:rsid w:val="00266D64"/>
    <w:rsid w:val="002710E4"/>
    <w:rsid w:val="00274123"/>
    <w:rsid w:val="00280F68"/>
    <w:rsid w:val="00283B33"/>
    <w:rsid w:val="00285A5F"/>
    <w:rsid w:val="0029266C"/>
    <w:rsid w:val="00294EA7"/>
    <w:rsid w:val="002A19C2"/>
    <w:rsid w:val="002A5287"/>
    <w:rsid w:val="002A7E16"/>
    <w:rsid w:val="002B0B56"/>
    <w:rsid w:val="002B0E77"/>
    <w:rsid w:val="002B6B84"/>
    <w:rsid w:val="002B6EB7"/>
    <w:rsid w:val="002C1528"/>
    <w:rsid w:val="002C6231"/>
    <w:rsid w:val="002D0E48"/>
    <w:rsid w:val="002D59F3"/>
    <w:rsid w:val="002D6DEA"/>
    <w:rsid w:val="002E0EF4"/>
    <w:rsid w:val="002E5E8C"/>
    <w:rsid w:val="002F01A2"/>
    <w:rsid w:val="002F7CD5"/>
    <w:rsid w:val="003109B7"/>
    <w:rsid w:val="003155EF"/>
    <w:rsid w:val="00321794"/>
    <w:rsid w:val="00321AAC"/>
    <w:rsid w:val="003236D7"/>
    <w:rsid w:val="00323883"/>
    <w:rsid w:val="0032430B"/>
    <w:rsid w:val="00325DFF"/>
    <w:rsid w:val="0034756D"/>
    <w:rsid w:val="00352186"/>
    <w:rsid w:val="003564D0"/>
    <w:rsid w:val="00361256"/>
    <w:rsid w:val="00364789"/>
    <w:rsid w:val="0036746F"/>
    <w:rsid w:val="0037646E"/>
    <w:rsid w:val="00381100"/>
    <w:rsid w:val="00381789"/>
    <w:rsid w:val="003911D8"/>
    <w:rsid w:val="00391BBE"/>
    <w:rsid w:val="00393CC0"/>
    <w:rsid w:val="00393F0B"/>
    <w:rsid w:val="00395CC8"/>
    <w:rsid w:val="00396D3A"/>
    <w:rsid w:val="003A1D64"/>
    <w:rsid w:val="003A2A1F"/>
    <w:rsid w:val="003A4E35"/>
    <w:rsid w:val="003A514C"/>
    <w:rsid w:val="003B3DD5"/>
    <w:rsid w:val="003B6499"/>
    <w:rsid w:val="003C04F5"/>
    <w:rsid w:val="003C68D9"/>
    <w:rsid w:val="003C6963"/>
    <w:rsid w:val="003C7827"/>
    <w:rsid w:val="003D4157"/>
    <w:rsid w:val="003D5AB9"/>
    <w:rsid w:val="003D5E7A"/>
    <w:rsid w:val="003E4B12"/>
    <w:rsid w:val="003F37CD"/>
    <w:rsid w:val="003F4031"/>
    <w:rsid w:val="003F74B4"/>
    <w:rsid w:val="00401632"/>
    <w:rsid w:val="0040286E"/>
    <w:rsid w:val="00403C3D"/>
    <w:rsid w:val="0041018D"/>
    <w:rsid w:val="00414100"/>
    <w:rsid w:val="00416EC0"/>
    <w:rsid w:val="00423ED9"/>
    <w:rsid w:val="00425CBD"/>
    <w:rsid w:val="004307E8"/>
    <w:rsid w:val="004311BD"/>
    <w:rsid w:val="00432ADD"/>
    <w:rsid w:val="0043628B"/>
    <w:rsid w:val="0044764F"/>
    <w:rsid w:val="004555F6"/>
    <w:rsid w:val="004578F8"/>
    <w:rsid w:val="00461CD0"/>
    <w:rsid w:val="00465ADD"/>
    <w:rsid w:val="00473D9F"/>
    <w:rsid w:val="00485F23"/>
    <w:rsid w:val="0048661A"/>
    <w:rsid w:val="004915B1"/>
    <w:rsid w:val="004923E1"/>
    <w:rsid w:val="00492B7F"/>
    <w:rsid w:val="004A6A61"/>
    <w:rsid w:val="004B371D"/>
    <w:rsid w:val="004B6E34"/>
    <w:rsid w:val="004C174D"/>
    <w:rsid w:val="004D11E9"/>
    <w:rsid w:val="004D2968"/>
    <w:rsid w:val="004F3ECB"/>
    <w:rsid w:val="004F4DD3"/>
    <w:rsid w:val="00504043"/>
    <w:rsid w:val="00505DF2"/>
    <w:rsid w:val="00506457"/>
    <w:rsid w:val="00513C0D"/>
    <w:rsid w:val="005149CC"/>
    <w:rsid w:val="005158A3"/>
    <w:rsid w:val="00517DEC"/>
    <w:rsid w:val="005244CF"/>
    <w:rsid w:val="005250EE"/>
    <w:rsid w:val="00530FF4"/>
    <w:rsid w:val="005331C4"/>
    <w:rsid w:val="0053329E"/>
    <w:rsid w:val="005345C9"/>
    <w:rsid w:val="00535A6A"/>
    <w:rsid w:val="0054270A"/>
    <w:rsid w:val="00542FDD"/>
    <w:rsid w:val="00544EDC"/>
    <w:rsid w:val="005509ED"/>
    <w:rsid w:val="0055303D"/>
    <w:rsid w:val="00553281"/>
    <w:rsid w:val="00553EBC"/>
    <w:rsid w:val="005608A7"/>
    <w:rsid w:val="00570CFA"/>
    <w:rsid w:val="00574626"/>
    <w:rsid w:val="00583549"/>
    <w:rsid w:val="00586532"/>
    <w:rsid w:val="00587429"/>
    <w:rsid w:val="00592BD9"/>
    <w:rsid w:val="00597787"/>
    <w:rsid w:val="005A2758"/>
    <w:rsid w:val="005A55E8"/>
    <w:rsid w:val="005B0F3A"/>
    <w:rsid w:val="005B18D6"/>
    <w:rsid w:val="005B373D"/>
    <w:rsid w:val="005B55D0"/>
    <w:rsid w:val="005C315C"/>
    <w:rsid w:val="005C3217"/>
    <w:rsid w:val="005C3D7E"/>
    <w:rsid w:val="005D5A0F"/>
    <w:rsid w:val="005E1165"/>
    <w:rsid w:val="005E41CE"/>
    <w:rsid w:val="005E6D86"/>
    <w:rsid w:val="005F2789"/>
    <w:rsid w:val="005F3444"/>
    <w:rsid w:val="005F5C1F"/>
    <w:rsid w:val="0060142F"/>
    <w:rsid w:val="00610F5F"/>
    <w:rsid w:val="00615C4B"/>
    <w:rsid w:val="006206CE"/>
    <w:rsid w:val="00624C1F"/>
    <w:rsid w:val="00625B59"/>
    <w:rsid w:val="006306BD"/>
    <w:rsid w:val="006322FB"/>
    <w:rsid w:val="0063408F"/>
    <w:rsid w:val="00634E8C"/>
    <w:rsid w:val="00635D2C"/>
    <w:rsid w:val="00637036"/>
    <w:rsid w:val="00640378"/>
    <w:rsid w:val="00646468"/>
    <w:rsid w:val="0066166D"/>
    <w:rsid w:val="00667519"/>
    <w:rsid w:val="0067094C"/>
    <w:rsid w:val="006819A9"/>
    <w:rsid w:val="00686FF7"/>
    <w:rsid w:val="00690BE0"/>
    <w:rsid w:val="00690EFA"/>
    <w:rsid w:val="0069394C"/>
    <w:rsid w:val="00697BAF"/>
    <w:rsid w:val="006A151F"/>
    <w:rsid w:val="006A3464"/>
    <w:rsid w:val="006B6848"/>
    <w:rsid w:val="006C6041"/>
    <w:rsid w:val="006C7E8D"/>
    <w:rsid w:val="006D2EC5"/>
    <w:rsid w:val="006E36CE"/>
    <w:rsid w:val="006F1FD9"/>
    <w:rsid w:val="006F5D8C"/>
    <w:rsid w:val="007029CE"/>
    <w:rsid w:val="00704248"/>
    <w:rsid w:val="007136F0"/>
    <w:rsid w:val="00713F94"/>
    <w:rsid w:val="00714B1A"/>
    <w:rsid w:val="00727094"/>
    <w:rsid w:val="00730EC4"/>
    <w:rsid w:val="00731785"/>
    <w:rsid w:val="00734986"/>
    <w:rsid w:val="0074161C"/>
    <w:rsid w:val="007433D8"/>
    <w:rsid w:val="00743FF4"/>
    <w:rsid w:val="00750304"/>
    <w:rsid w:val="007506CF"/>
    <w:rsid w:val="00752FBE"/>
    <w:rsid w:val="0075398A"/>
    <w:rsid w:val="00754EA4"/>
    <w:rsid w:val="00761A41"/>
    <w:rsid w:val="007628A5"/>
    <w:rsid w:val="00766548"/>
    <w:rsid w:val="00767C5F"/>
    <w:rsid w:val="0077105F"/>
    <w:rsid w:val="00773C1E"/>
    <w:rsid w:val="00781685"/>
    <w:rsid w:val="007818F4"/>
    <w:rsid w:val="00785F2B"/>
    <w:rsid w:val="00791B5D"/>
    <w:rsid w:val="00791C41"/>
    <w:rsid w:val="007A0545"/>
    <w:rsid w:val="007A0E0C"/>
    <w:rsid w:val="007A3D27"/>
    <w:rsid w:val="007A77FC"/>
    <w:rsid w:val="007B0642"/>
    <w:rsid w:val="007B3492"/>
    <w:rsid w:val="007B34F6"/>
    <w:rsid w:val="007C5537"/>
    <w:rsid w:val="007C6FEF"/>
    <w:rsid w:val="007D7921"/>
    <w:rsid w:val="007E0468"/>
    <w:rsid w:val="007E363B"/>
    <w:rsid w:val="007E6AA0"/>
    <w:rsid w:val="007F16F7"/>
    <w:rsid w:val="007F3429"/>
    <w:rsid w:val="008003DA"/>
    <w:rsid w:val="00801469"/>
    <w:rsid w:val="00802608"/>
    <w:rsid w:val="00810341"/>
    <w:rsid w:val="008146F2"/>
    <w:rsid w:val="00817C77"/>
    <w:rsid w:val="008202F6"/>
    <w:rsid w:val="00823856"/>
    <w:rsid w:val="008255C7"/>
    <w:rsid w:val="00830289"/>
    <w:rsid w:val="00843477"/>
    <w:rsid w:val="008438D2"/>
    <w:rsid w:val="00846B55"/>
    <w:rsid w:val="00846F2C"/>
    <w:rsid w:val="0085220D"/>
    <w:rsid w:val="008618F8"/>
    <w:rsid w:val="0086511C"/>
    <w:rsid w:val="0086605C"/>
    <w:rsid w:val="008723C3"/>
    <w:rsid w:val="008760C7"/>
    <w:rsid w:val="00881F77"/>
    <w:rsid w:val="00887101"/>
    <w:rsid w:val="008A05EE"/>
    <w:rsid w:val="008A0680"/>
    <w:rsid w:val="008A5E5B"/>
    <w:rsid w:val="008B2F22"/>
    <w:rsid w:val="008C12E0"/>
    <w:rsid w:val="008C6532"/>
    <w:rsid w:val="008D1BFA"/>
    <w:rsid w:val="008D491D"/>
    <w:rsid w:val="008D4FC3"/>
    <w:rsid w:val="008E5B03"/>
    <w:rsid w:val="008E7D75"/>
    <w:rsid w:val="008F78E9"/>
    <w:rsid w:val="009008FE"/>
    <w:rsid w:val="009053AD"/>
    <w:rsid w:val="00906031"/>
    <w:rsid w:val="00912F3B"/>
    <w:rsid w:val="00913078"/>
    <w:rsid w:val="0091505D"/>
    <w:rsid w:val="009250AB"/>
    <w:rsid w:val="009314D1"/>
    <w:rsid w:val="0093406D"/>
    <w:rsid w:val="00937521"/>
    <w:rsid w:val="00942CB5"/>
    <w:rsid w:val="00946226"/>
    <w:rsid w:val="00957534"/>
    <w:rsid w:val="00960933"/>
    <w:rsid w:val="00961164"/>
    <w:rsid w:val="00962D29"/>
    <w:rsid w:val="00964E00"/>
    <w:rsid w:val="0097008E"/>
    <w:rsid w:val="0097577E"/>
    <w:rsid w:val="009764C6"/>
    <w:rsid w:val="00984DD1"/>
    <w:rsid w:val="00991AA8"/>
    <w:rsid w:val="0099728C"/>
    <w:rsid w:val="009A1BAD"/>
    <w:rsid w:val="009A31F2"/>
    <w:rsid w:val="009B1DB8"/>
    <w:rsid w:val="009C011B"/>
    <w:rsid w:val="009C1072"/>
    <w:rsid w:val="009C4BE7"/>
    <w:rsid w:val="009D0879"/>
    <w:rsid w:val="009D6334"/>
    <w:rsid w:val="009F2A3D"/>
    <w:rsid w:val="009F489E"/>
    <w:rsid w:val="009F4CA8"/>
    <w:rsid w:val="009F4E7F"/>
    <w:rsid w:val="00A00523"/>
    <w:rsid w:val="00A03E24"/>
    <w:rsid w:val="00A045D8"/>
    <w:rsid w:val="00A05831"/>
    <w:rsid w:val="00A11402"/>
    <w:rsid w:val="00A13CB9"/>
    <w:rsid w:val="00A155A9"/>
    <w:rsid w:val="00A16983"/>
    <w:rsid w:val="00A16D42"/>
    <w:rsid w:val="00A22347"/>
    <w:rsid w:val="00A3054A"/>
    <w:rsid w:val="00A329D0"/>
    <w:rsid w:val="00A33476"/>
    <w:rsid w:val="00A338ED"/>
    <w:rsid w:val="00A402E6"/>
    <w:rsid w:val="00A40D3E"/>
    <w:rsid w:val="00A41BF2"/>
    <w:rsid w:val="00A4550C"/>
    <w:rsid w:val="00A54FD3"/>
    <w:rsid w:val="00A56525"/>
    <w:rsid w:val="00A621E1"/>
    <w:rsid w:val="00A62271"/>
    <w:rsid w:val="00A63250"/>
    <w:rsid w:val="00A70173"/>
    <w:rsid w:val="00A7239D"/>
    <w:rsid w:val="00A800AF"/>
    <w:rsid w:val="00A80DAE"/>
    <w:rsid w:val="00A82678"/>
    <w:rsid w:val="00A91F16"/>
    <w:rsid w:val="00A95F00"/>
    <w:rsid w:val="00A979BD"/>
    <w:rsid w:val="00AA308F"/>
    <w:rsid w:val="00AA3A4E"/>
    <w:rsid w:val="00AA590D"/>
    <w:rsid w:val="00AA7D4A"/>
    <w:rsid w:val="00AB4406"/>
    <w:rsid w:val="00AC1DFA"/>
    <w:rsid w:val="00AC2700"/>
    <w:rsid w:val="00AD0E33"/>
    <w:rsid w:val="00AD78BB"/>
    <w:rsid w:val="00AD7FB5"/>
    <w:rsid w:val="00AE15A8"/>
    <w:rsid w:val="00AE1CD1"/>
    <w:rsid w:val="00AE7C3C"/>
    <w:rsid w:val="00AF091F"/>
    <w:rsid w:val="00AF31E6"/>
    <w:rsid w:val="00B0517E"/>
    <w:rsid w:val="00B057D1"/>
    <w:rsid w:val="00B057D6"/>
    <w:rsid w:val="00B05A82"/>
    <w:rsid w:val="00B13911"/>
    <w:rsid w:val="00B26DAD"/>
    <w:rsid w:val="00B33383"/>
    <w:rsid w:val="00B4101F"/>
    <w:rsid w:val="00B42ACE"/>
    <w:rsid w:val="00B437AC"/>
    <w:rsid w:val="00B504D3"/>
    <w:rsid w:val="00B537BE"/>
    <w:rsid w:val="00B539D4"/>
    <w:rsid w:val="00B5701D"/>
    <w:rsid w:val="00B64A5B"/>
    <w:rsid w:val="00B65AE9"/>
    <w:rsid w:val="00B65B5A"/>
    <w:rsid w:val="00B74741"/>
    <w:rsid w:val="00B8435B"/>
    <w:rsid w:val="00B85BE9"/>
    <w:rsid w:val="00B9550D"/>
    <w:rsid w:val="00B96578"/>
    <w:rsid w:val="00BA0E5E"/>
    <w:rsid w:val="00BA1FB4"/>
    <w:rsid w:val="00BA5792"/>
    <w:rsid w:val="00BA5875"/>
    <w:rsid w:val="00BB5444"/>
    <w:rsid w:val="00BB5773"/>
    <w:rsid w:val="00BB6D3A"/>
    <w:rsid w:val="00BC0848"/>
    <w:rsid w:val="00BC500F"/>
    <w:rsid w:val="00BD0418"/>
    <w:rsid w:val="00BD2E39"/>
    <w:rsid w:val="00BD3526"/>
    <w:rsid w:val="00BD6D2C"/>
    <w:rsid w:val="00BE1A24"/>
    <w:rsid w:val="00BE4821"/>
    <w:rsid w:val="00BF1346"/>
    <w:rsid w:val="00BF68CE"/>
    <w:rsid w:val="00BF6F8C"/>
    <w:rsid w:val="00C10472"/>
    <w:rsid w:val="00C13B44"/>
    <w:rsid w:val="00C168DB"/>
    <w:rsid w:val="00C272F1"/>
    <w:rsid w:val="00C3051D"/>
    <w:rsid w:val="00C33D1E"/>
    <w:rsid w:val="00C41CE6"/>
    <w:rsid w:val="00C4262F"/>
    <w:rsid w:val="00C43C06"/>
    <w:rsid w:val="00C444A5"/>
    <w:rsid w:val="00C47CAE"/>
    <w:rsid w:val="00C51312"/>
    <w:rsid w:val="00C52EE6"/>
    <w:rsid w:val="00C56DF2"/>
    <w:rsid w:val="00C627A6"/>
    <w:rsid w:val="00C72C72"/>
    <w:rsid w:val="00C731AB"/>
    <w:rsid w:val="00C7393C"/>
    <w:rsid w:val="00C74FEE"/>
    <w:rsid w:val="00C75AA8"/>
    <w:rsid w:val="00C76FF9"/>
    <w:rsid w:val="00C829E5"/>
    <w:rsid w:val="00C92E92"/>
    <w:rsid w:val="00CA55E2"/>
    <w:rsid w:val="00CB2513"/>
    <w:rsid w:val="00CC45F0"/>
    <w:rsid w:val="00CD402C"/>
    <w:rsid w:val="00CD58A8"/>
    <w:rsid w:val="00CD6AE6"/>
    <w:rsid w:val="00CE3F2E"/>
    <w:rsid w:val="00CF227B"/>
    <w:rsid w:val="00CF3B8B"/>
    <w:rsid w:val="00CF3E9E"/>
    <w:rsid w:val="00CF4947"/>
    <w:rsid w:val="00CF65B2"/>
    <w:rsid w:val="00D00074"/>
    <w:rsid w:val="00D0521E"/>
    <w:rsid w:val="00D06156"/>
    <w:rsid w:val="00D11AA6"/>
    <w:rsid w:val="00D121B7"/>
    <w:rsid w:val="00D12CFE"/>
    <w:rsid w:val="00D249E9"/>
    <w:rsid w:val="00D3030E"/>
    <w:rsid w:val="00D440D4"/>
    <w:rsid w:val="00D4742D"/>
    <w:rsid w:val="00D6234E"/>
    <w:rsid w:val="00D64313"/>
    <w:rsid w:val="00D65C30"/>
    <w:rsid w:val="00D73FF5"/>
    <w:rsid w:val="00D7407D"/>
    <w:rsid w:val="00D77E13"/>
    <w:rsid w:val="00D90D19"/>
    <w:rsid w:val="00D95C50"/>
    <w:rsid w:val="00D97915"/>
    <w:rsid w:val="00DA0E87"/>
    <w:rsid w:val="00DA48A9"/>
    <w:rsid w:val="00DA6700"/>
    <w:rsid w:val="00DB03D3"/>
    <w:rsid w:val="00DB0630"/>
    <w:rsid w:val="00DB37EC"/>
    <w:rsid w:val="00DC6091"/>
    <w:rsid w:val="00DC73D9"/>
    <w:rsid w:val="00DC7FB8"/>
    <w:rsid w:val="00DD164E"/>
    <w:rsid w:val="00DD305B"/>
    <w:rsid w:val="00DD70D5"/>
    <w:rsid w:val="00DE0D90"/>
    <w:rsid w:val="00DE0DA2"/>
    <w:rsid w:val="00DE3D00"/>
    <w:rsid w:val="00DE46BB"/>
    <w:rsid w:val="00DF21EB"/>
    <w:rsid w:val="00DF231D"/>
    <w:rsid w:val="00DF28CC"/>
    <w:rsid w:val="00E02ACE"/>
    <w:rsid w:val="00E03420"/>
    <w:rsid w:val="00E04619"/>
    <w:rsid w:val="00E104D8"/>
    <w:rsid w:val="00E12C91"/>
    <w:rsid w:val="00E142FC"/>
    <w:rsid w:val="00E14704"/>
    <w:rsid w:val="00E1526C"/>
    <w:rsid w:val="00E24E4E"/>
    <w:rsid w:val="00E2554B"/>
    <w:rsid w:val="00E26E72"/>
    <w:rsid w:val="00E27700"/>
    <w:rsid w:val="00E30D65"/>
    <w:rsid w:val="00E33EE1"/>
    <w:rsid w:val="00E51CA2"/>
    <w:rsid w:val="00E55D3A"/>
    <w:rsid w:val="00E5683B"/>
    <w:rsid w:val="00E60C19"/>
    <w:rsid w:val="00E6492B"/>
    <w:rsid w:val="00E64CA8"/>
    <w:rsid w:val="00E7199B"/>
    <w:rsid w:val="00E71A0C"/>
    <w:rsid w:val="00E73BFB"/>
    <w:rsid w:val="00EA120F"/>
    <w:rsid w:val="00EA56BB"/>
    <w:rsid w:val="00EA5E04"/>
    <w:rsid w:val="00EA66AC"/>
    <w:rsid w:val="00EB0D34"/>
    <w:rsid w:val="00EB717B"/>
    <w:rsid w:val="00EC446C"/>
    <w:rsid w:val="00ED0668"/>
    <w:rsid w:val="00ED292C"/>
    <w:rsid w:val="00ED31DD"/>
    <w:rsid w:val="00ED35ED"/>
    <w:rsid w:val="00ED78A2"/>
    <w:rsid w:val="00EE3DFB"/>
    <w:rsid w:val="00EE412F"/>
    <w:rsid w:val="00EE709A"/>
    <w:rsid w:val="00EF0A44"/>
    <w:rsid w:val="00EF20CB"/>
    <w:rsid w:val="00F01C8F"/>
    <w:rsid w:val="00F02133"/>
    <w:rsid w:val="00F031D4"/>
    <w:rsid w:val="00F03818"/>
    <w:rsid w:val="00F1711F"/>
    <w:rsid w:val="00F20BAC"/>
    <w:rsid w:val="00F24B11"/>
    <w:rsid w:val="00F40B22"/>
    <w:rsid w:val="00F60AB5"/>
    <w:rsid w:val="00F62332"/>
    <w:rsid w:val="00F657D7"/>
    <w:rsid w:val="00F70BC9"/>
    <w:rsid w:val="00F82882"/>
    <w:rsid w:val="00F8759F"/>
    <w:rsid w:val="00F90AAC"/>
    <w:rsid w:val="00F92DC3"/>
    <w:rsid w:val="00FA01BC"/>
    <w:rsid w:val="00FA246A"/>
    <w:rsid w:val="00FA6C59"/>
    <w:rsid w:val="00FA6C6B"/>
    <w:rsid w:val="00FB2325"/>
    <w:rsid w:val="00FB4872"/>
    <w:rsid w:val="00FC25CD"/>
    <w:rsid w:val="00FC399A"/>
    <w:rsid w:val="00FD01D2"/>
    <w:rsid w:val="00FD1118"/>
    <w:rsid w:val="00FD344A"/>
    <w:rsid w:val="00FD46E6"/>
    <w:rsid w:val="00FD66B5"/>
    <w:rsid w:val="00FE2EBF"/>
    <w:rsid w:val="00FE625F"/>
    <w:rsid w:val="00FE7D7A"/>
    <w:rsid w:val="00FF1297"/>
    <w:rsid w:val="00FF14D4"/>
    <w:rsid w:val="00FF2C83"/>
    <w:rsid w:val="00FF7991"/>
    <w:rsid w:val="00FF7DA3"/>
    <w:rsid w:val="03801067"/>
    <w:rsid w:val="038BBC93"/>
    <w:rsid w:val="03E9E61B"/>
    <w:rsid w:val="0448369E"/>
    <w:rsid w:val="0457519D"/>
    <w:rsid w:val="05BECF69"/>
    <w:rsid w:val="07A5EFAD"/>
    <w:rsid w:val="07AB74BB"/>
    <w:rsid w:val="07BD51A2"/>
    <w:rsid w:val="07E9AC75"/>
    <w:rsid w:val="0BC29272"/>
    <w:rsid w:val="0E6E3D0C"/>
    <w:rsid w:val="0F39E222"/>
    <w:rsid w:val="0F75D61F"/>
    <w:rsid w:val="1112C362"/>
    <w:rsid w:val="11F576D9"/>
    <w:rsid w:val="12216D05"/>
    <w:rsid w:val="12F8A3FF"/>
    <w:rsid w:val="1328099D"/>
    <w:rsid w:val="132CB4B2"/>
    <w:rsid w:val="138C1D36"/>
    <w:rsid w:val="13F1F59D"/>
    <w:rsid w:val="145C2F59"/>
    <w:rsid w:val="149735EC"/>
    <w:rsid w:val="15221FE9"/>
    <w:rsid w:val="170B449D"/>
    <w:rsid w:val="17D944D9"/>
    <w:rsid w:val="1808553D"/>
    <w:rsid w:val="19C92689"/>
    <w:rsid w:val="19EF2931"/>
    <w:rsid w:val="1D3F19EC"/>
    <w:rsid w:val="1E94DCF7"/>
    <w:rsid w:val="1FEB2EFD"/>
    <w:rsid w:val="222B7564"/>
    <w:rsid w:val="23F3FC12"/>
    <w:rsid w:val="24060685"/>
    <w:rsid w:val="248A7F61"/>
    <w:rsid w:val="26D2AED5"/>
    <w:rsid w:val="2702D385"/>
    <w:rsid w:val="27DDFAFB"/>
    <w:rsid w:val="2A5774F3"/>
    <w:rsid w:val="2BF28642"/>
    <w:rsid w:val="2C57C8CB"/>
    <w:rsid w:val="2CCF59D8"/>
    <w:rsid w:val="2D2A05FD"/>
    <w:rsid w:val="30344496"/>
    <w:rsid w:val="34616320"/>
    <w:rsid w:val="35A7D640"/>
    <w:rsid w:val="36BA9B95"/>
    <w:rsid w:val="3A1A01E4"/>
    <w:rsid w:val="3A2119EA"/>
    <w:rsid w:val="3A2F87A2"/>
    <w:rsid w:val="3A7F119C"/>
    <w:rsid w:val="3B3C08D7"/>
    <w:rsid w:val="3B7917B4"/>
    <w:rsid w:val="3C4EB5A3"/>
    <w:rsid w:val="3EB09B74"/>
    <w:rsid w:val="3F84A009"/>
    <w:rsid w:val="3FA9965C"/>
    <w:rsid w:val="40734334"/>
    <w:rsid w:val="409C5C35"/>
    <w:rsid w:val="41DE7374"/>
    <w:rsid w:val="464DE2B0"/>
    <w:rsid w:val="4841633E"/>
    <w:rsid w:val="48647F75"/>
    <w:rsid w:val="48EE1344"/>
    <w:rsid w:val="4AE47621"/>
    <w:rsid w:val="4B1A51B5"/>
    <w:rsid w:val="4CAEF0ED"/>
    <w:rsid w:val="4EC43DA3"/>
    <w:rsid w:val="4EE46FEB"/>
    <w:rsid w:val="4F0D49C4"/>
    <w:rsid w:val="4FCA5C42"/>
    <w:rsid w:val="505FC2DC"/>
    <w:rsid w:val="5068B6BD"/>
    <w:rsid w:val="5100B844"/>
    <w:rsid w:val="51DAB02B"/>
    <w:rsid w:val="51EA580A"/>
    <w:rsid w:val="52EA1C20"/>
    <w:rsid w:val="541E2953"/>
    <w:rsid w:val="549335E1"/>
    <w:rsid w:val="5506738A"/>
    <w:rsid w:val="553B208A"/>
    <w:rsid w:val="55AEE59F"/>
    <w:rsid w:val="55E2876F"/>
    <w:rsid w:val="5909567A"/>
    <w:rsid w:val="5945D3FE"/>
    <w:rsid w:val="5A49A2D8"/>
    <w:rsid w:val="5AE88A33"/>
    <w:rsid w:val="5C443439"/>
    <w:rsid w:val="5C6D0337"/>
    <w:rsid w:val="627A02C1"/>
    <w:rsid w:val="62F25E17"/>
    <w:rsid w:val="631B5294"/>
    <w:rsid w:val="63EF4B96"/>
    <w:rsid w:val="64614007"/>
    <w:rsid w:val="659A9BF9"/>
    <w:rsid w:val="65CE89E7"/>
    <w:rsid w:val="66B58F5F"/>
    <w:rsid w:val="67218B0A"/>
    <w:rsid w:val="67970B50"/>
    <w:rsid w:val="68528A37"/>
    <w:rsid w:val="68675208"/>
    <w:rsid w:val="6B0D173C"/>
    <w:rsid w:val="6B2E5104"/>
    <w:rsid w:val="6CD7DE58"/>
    <w:rsid w:val="6CF99550"/>
    <w:rsid w:val="6EFF223D"/>
    <w:rsid w:val="6F83E51C"/>
    <w:rsid w:val="711E868D"/>
    <w:rsid w:val="7250D7CB"/>
    <w:rsid w:val="7335B234"/>
    <w:rsid w:val="75CC1D6B"/>
    <w:rsid w:val="76B953FA"/>
    <w:rsid w:val="7815D63A"/>
    <w:rsid w:val="7844B371"/>
    <w:rsid w:val="7BE1FAC4"/>
    <w:rsid w:val="7DE624D0"/>
    <w:rsid w:val="7E6C2232"/>
    <w:rsid w:val="7F54DF82"/>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1A7D54"/>
  <w15:chartTrackingRefBased/>
  <w15:docId w15:val="{E5B3E1E1-FD78-45F1-9676-FE9A29E1C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A3A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next w:val="Normal"/>
    <w:link w:val="Ttulo2Car"/>
    <w:uiPriority w:val="9"/>
    <w:unhideWhenUsed/>
    <w:qFormat/>
    <w:rsid w:val="00E71A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DD70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A3A4E"/>
    <w:rPr>
      <w:rFonts w:ascii="Times New Roman" w:eastAsia="Times New Roman" w:hAnsi="Times New Roman" w:cs="Times New Roman"/>
      <w:b/>
      <w:bCs/>
      <w:kern w:val="36"/>
      <w:sz w:val="48"/>
      <w:szCs w:val="48"/>
      <w:lang w:eastAsia="es-CO"/>
    </w:rPr>
  </w:style>
  <w:style w:type="paragraph" w:styleId="NormalWeb">
    <w:name w:val="Normal (Web)"/>
    <w:basedOn w:val="Normal"/>
    <w:uiPriority w:val="99"/>
    <w:semiHidden/>
    <w:unhideWhenUsed/>
    <w:rsid w:val="00AA3A4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AA3A4E"/>
    <w:rPr>
      <w:i/>
      <w:iCs/>
    </w:rPr>
  </w:style>
  <w:style w:type="character" w:styleId="Textoennegrita">
    <w:name w:val="Strong"/>
    <w:basedOn w:val="Fuentedeprrafopredeter"/>
    <w:uiPriority w:val="22"/>
    <w:qFormat/>
    <w:rsid w:val="00AA3A4E"/>
    <w:rPr>
      <w:b/>
      <w:bCs/>
    </w:rPr>
  </w:style>
  <w:style w:type="character" w:styleId="Hipervnculo">
    <w:name w:val="Hyperlink"/>
    <w:basedOn w:val="Fuentedeprrafopredeter"/>
    <w:uiPriority w:val="99"/>
    <w:unhideWhenUsed/>
    <w:rsid w:val="00AA3A4E"/>
    <w:rPr>
      <w:color w:val="0000FF"/>
      <w:u w:val="single"/>
    </w:rPr>
  </w:style>
  <w:style w:type="character" w:customStyle="1" w:styleId="Ttulo2Car">
    <w:name w:val="Título 2 Car"/>
    <w:basedOn w:val="Fuentedeprrafopredeter"/>
    <w:link w:val="Ttulo2"/>
    <w:uiPriority w:val="9"/>
    <w:rsid w:val="00E71A0C"/>
    <w:rPr>
      <w:rFonts w:asciiTheme="majorHAnsi" w:eastAsiaTheme="majorEastAsia" w:hAnsiTheme="majorHAnsi" w:cstheme="majorBidi"/>
      <w:color w:val="2F5496" w:themeColor="accent1" w:themeShade="BF"/>
      <w:sz w:val="26"/>
      <w:szCs w:val="26"/>
    </w:rPr>
  </w:style>
  <w:style w:type="table" w:styleId="Tabladelista6concolores-nfasis3">
    <w:name w:val="List Table 6 Colorful Accent 3"/>
    <w:basedOn w:val="Tablanormal"/>
    <w:uiPriority w:val="51"/>
    <w:rsid w:val="00DD70D5"/>
    <w:pPr>
      <w:spacing w:after="0" w:line="240" w:lineRule="auto"/>
    </w:pPr>
    <w:rPr>
      <w:color w:val="7B7B7B" w:themeColor="accent3" w:themeShade="BF"/>
      <w:sz w:val="24"/>
      <w:szCs w:val="24"/>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tulo">
    <w:name w:val="Title"/>
    <w:basedOn w:val="Normal"/>
    <w:next w:val="Normal"/>
    <w:link w:val="TtuloCar"/>
    <w:uiPriority w:val="10"/>
    <w:qFormat/>
    <w:rsid w:val="00DD70D5"/>
    <w:pPr>
      <w:spacing w:after="0" w:line="240" w:lineRule="auto"/>
      <w:contextualSpacing/>
    </w:pPr>
    <w:rPr>
      <w:rFonts w:asciiTheme="majorHAnsi" w:eastAsiaTheme="majorEastAsia" w:hAnsiTheme="majorHAnsi" w:cstheme="majorBidi"/>
      <w:spacing w:val="-10"/>
      <w:kern w:val="28"/>
      <w:sz w:val="56"/>
      <w:szCs w:val="56"/>
      <w:lang w:eastAsia="es-ES_tradnl"/>
    </w:rPr>
  </w:style>
  <w:style w:type="character" w:customStyle="1" w:styleId="TtuloCar">
    <w:name w:val="Título Car"/>
    <w:basedOn w:val="Fuentedeprrafopredeter"/>
    <w:link w:val="Ttulo"/>
    <w:uiPriority w:val="10"/>
    <w:rsid w:val="00DD70D5"/>
    <w:rPr>
      <w:rFonts w:asciiTheme="majorHAnsi" w:eastAsiaTheme="majorEastAsia" w:hAnsiTheme="majorHAnsi" w:cstheme="majorBidi"/>
      <w:spacing w:val="-10"/>
      <w:kern w:val="28"/>
      <w:sz w:val="56"/>
      <w:szCs w:val="56"/>
      <w:lang w:eastAsia="es-ES_tradnl"/>
    </w:rPr>
  </w:style>
  <w:style w:type="table" w:styleId="Tabladelista1clara">
    <w:name w:val="List Table 1 Light"/>
    <w:basedOn w:val="Tablanormal"/>
    <w:uiPriority w:val="46"/>
    <w:rsid w:val="00DD70D5"/>
    <w:pPr>
      <w:spacing w:after="0" w:line="240" w:lineRule="auto"/>
    </w:pPr>
    <w:rPr>
      <w:sz w:val="24"/>
      <w:szCs w:val="24"/>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basedOn w:val="Normal"/>
    <w:next w:val="Normal"/>
    <w:uiPriority w:val="35"/>
    <w:unhideWhenUsed/>
    <w:qFormat/>
    <w:rsid w:val="00DD70D5"/>
    <w:pPr>
      <w:spacing w:after="200" w:line="240" w:lineRule="auto"/>
    </w:pPr>
    <w:rPr>
      <w:i/>
      <w:iCs/>
      <w:color w:val="44546A" w:themeColor="text2"/>
      <w:sz w:val="18"/>
      <w:szCs w:val="18"/>
    </w:rPr>
  </w:style>
  <w:style w:type="table" w:styleId="Tablanormal5">
    <w:name w:val="Plain Table 5"/>
    <w:basedOn w:val="Tablanormal"/>
    <w:uiPriority w:val="45"/>
    <w:rsid w:val="00DD70D5"/>
    <w:pPr>
      <w:spacing w:after="0" w:line="240" w:lineRule="auto"/>
    </w:pPr>
    <w:rPr>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D70D5"/>
    <w:pPr>
      <w:spacing w:after="0" w:line="240" w:lineRule="auto"/>
    </w:pPr>
    <w:rPr>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Ttulo4Car">
    <w:name w:val="Título 4 Car"/>
    <w:basedOn w:val="Fuentedeprrafopredeter"/>
    <w:link w:val="Ttulo4"/>
    <w:uiPriority w:val="9"/>
    <w:rsid w:val="00DD70D5"/>
    <w:rPr>
      <w:rFonts w:asciiTheme="majorHAnsi" w:eastAsiaTheme="majorEastAsia" w:hAnsiTheme="majorHAnsi" w:cstheme="majorBidi"/>
      <w:i/>
      <w:iCs/>
      <w:color w:val="2F5496" w:themeColor="accent1" w:themeShade="BF"/>
    </w:rPr>
  </w:style>
  <w:style w:type="paragraph" w:styleId="Lista2">
    <w:name w:val="List 2"/>
    <w:basedOn w:val="Normal"/>
    <w:uiPriority w:val="99"/>
    <w:unhideWhenUsed/>
    <w:rsid w:val="00DD70D5"/>
    <w:pPr>
      <w:ind w:left="566" w:hanging="283"/>
      <w:contextualSpacing/>
    </w:pPr>
  </w:style>
  <w:style w:type="paragraph" w:styleId="Listaconvietas">
    <w:name w:val="List Bullet"/>
    <w:basedOn w:val="Normal"/>
    <w:uiPriority w:val="99"/>
    <w:unhideWhenUsed/>
    <w:rsid w:val="00DD70D5"/>
    <w:pPr>
      <w:numPr>
        <w:numId w:val="5"/>
      </w:numPr>
      <w:contextualSpacing/>
    </w:pPr>
  </w:style>
  <w:style w:type="paragraph" w:styleId="Textoindependiente">
    <w:name w:val="Body Text"/>
    <w:basedOn w:val="Normal"/>
    <w:link w:val="TextoindependienteCar"/>
    <w:uiPriority w:val="99"/>
    <w:unhideWhenUsed/>
    <w:rsid w:val="00DD70D5"/>
    <w:pPr>
      <w:spacing w:after="120"/>
    </w:pPr>
  </w:style>
  <w:style w:type="character" w:customStyle="1" w:styleId="TextoindependienteCar">
    <w:name w:val="Texto independiente Car"/>
    <w:basedOn w:val="Fuentedeprrafopredeter"/>
    <w:link w:val="Textoindependiente"/>
    <w:uiPriority w:val="99"/>
    <w:rsid w:val="00DD70D5"/>
  </w:style>
  <w:style w:type="paragraph" w:styleId="Subttulo">
    <w:name w:val="Subtitle"/>
    <w:basedOn w:val="Normal"/>
    <w:next w:val="Normal"/>
    <w:link w:val="SubttuloCar"/>
    <w:uiPriority w:val="11"/>
    <w:qFormat/>
    <w:rsid w:val="00DD70D5"/>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D70D5"/>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DD70D5"/>
    <w:pPr>
      <w:spacing w:after="120"/>
      <w:ind w:left="283"/>
    </w:pPr>
  </w:style>
  <w:style w:type="character" w:customStyle="1" w:styleId="SangradetextonormalCar">
    <w:name w:val="Sangría de texto normal Car"/>
    <w:basedOn w:val="Fuentedeprrafopredeter"/>
    <w:link w:val="Sangradetextonormal"/>
    <w:uiPriority w:val="99"/>
    <w:semiHidden/>
    <w:rsid w:val="00DD70D5"/>
  </w:style>
  <w:style w:type="paragraph" w:styleId="Textoindependienteprimerasangra2">
    <w:name w:val="Body Text First Indent 2"/>
    <w:basedOn w:val="Sangradetextonormal"/>
    <w:link w:val="Textoindependienteprimerasangra2Car"/>
    <w:uiPriority w:val="99"/>
    <w:unhideWhenUsed/>
    <w:rsid w:val="00DD70D5"/>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D70D5"/>
  </w:style>
  <w:style w:type="paragraph" w:styleId="TtuloTDC">
    <w:name w:val="TOC Heading"/>
    <w:basedOn w:val="Ttulo1"/>
    <w:next w:val="Normal"/>
    <w:uiPriority w:val="39"/>
    <w:unhideWhenUsed/>
    <w:qFormat/>
    <w:rsid w:val="0014761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DC2">
    <w:name w:val="toc 2"/>
    <w:basedOn w:val="Normal"/>
    <w:next w:val="Normal"/>
    <w:autoRedefine/>
    <w:uiPriority w:val="39"/>
    <w:unhideWhenUsed/>
    <w:rsid w:val="0014761E"/>
    <w:pPr>
      <w:spacing w:after="100"/>
      <w:ind w:left="220"/>
    </w:pPr>
  </w:style>
  <w:style w:type="paragraph" w:styleId="TDC1">
    <w:name w:val="toc 1"/>
    <w:basedOn w:val="Normal"/>
    <w:next w:val="Normal"/>
    <w:autoRedefine/>
    <w:uiPriority w:val="39"/>
    <w:unhideWhenUsed/>
    <w:rsid w:val="007E0468"/>
    <w:pPr>
      <w:tabs>
        <w:tab w:val="right" w:leader="dot" w:pos="9060"/>
      </w:tabs>
      <w:spacing w:after="100"/>
    </w:pPr>
  </w:style>
  <w:style w:type="character" w:styleId="Refdecomentario">
    <w:name w:val="annotation reference"/>
    <w:basedOn w:val="Fuentedeprrafopredeter"/>
    <w:uiPriority w:val="99"/>
    <w:semiHidden/>
    <w:unhideWhenUsed/>
    <w:rsid w:val="007C5537"/>
    <w:rPr>
      <w:sz w:val="16"/>
      <w:szCs w:val="16"/>
    </w:rPr>
  </w:style>
  <w:style w:type="paragraph" w:styleId="Textocomentario">
    <w:name w:val="annotation text"/>
    <w:basedOn w:val="Normal"/>
    <w:link w:val="TextocomentarioCar"/>
    <w:uiPriority w:val="99"/>
    <w:semiHidden/>
    <w:unhideWhenUsed/>
    <w:rsid w:val="007C55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5537"/>
    <w:rPr>
      <w:sz w:val="20"/>
      <w:szCs w:val="20"/>
    </w:rPr>
  </w:style>
  <w:style w:type="paragraph" w:styleId="Asuntodelcomentario">
    <w:name w:val="annotation subject"/>
    <w:basedOn w:val="Textocomentario"/>
    <w:next w:val="Textocomentario"/>
    <w:link w:val="AsuntodelcomentarioCar"/>
    <w:uiPriority w:val="99"/>
    <w:semiHidden/>
    <w:unhideWhenUsed/>
    <w:rsid w:val="007C5537"/>
    <w:rPr>
      <w:b/>
      <w:bCs/>
    </w:rPr>
  </w:style>
  <w:style w:type="character" w:customStyle="1" w:styleId="AsuntodelcomentarioCar">
    <w:name w:val="Asunto del comentario Car"/>
    <w:basedOn w:val="TextocomentarioCar"/>
    <w:link w:val="Asuntodelcomentario"/>
    <w:uiPriority w:val="99"/>
    <w:semiHidden/>
    <w:rsid w:val="007C5537"/>
    <w:rPr>
      <w:b/>
      <w:bCs/>
      <w:sz w:val="20"/>
      <w:szCs w:val="20"/>
    </w:rPr>
  </w:style>
  <w:style w:type="paragraph" w:styleId="Revisin">
    <w:name w:val="Revision"/>
    <w:hidden/>
    <w:uiPriority w:val="99"/>
    <w:semiHidden/>
    <w:rsid w:val="00704248"/>
    <w:pPr>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delista2">
    <w:name w:val="List Table 2"/>
    <w:basedOn w:val="Tablanormal"/>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notapie">
    <w:name w:val="footnote text"/>
    <w:basedOn w:val="Normal"/>
    <w:link w:val="TextonotapieCar"/>
    <w:uiPriority w:val="99"/>
    <w:semiHidden/>
    <w:unhideWhenUsed/>
    <w:rsid w:val="00592BD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92BD9"/>
    <w:rPr>
      <w:sz w:val="20"/>
      <w:szCs w:val="20"/>
    </w:rPr>
  </w:style>
  <w:style w:type="character" w:styleId="Refdenotaalpie">
    <w:name w:val="footnote reference"/>
    <w:basedOn w:val="Fuentedeprrafopredeter"/>
    <w:uiPriority w:val="99"/>
    <w:semiHidden/>
    <w:unhideWhenUsed/>
    <w:rsid w:val="00592BD9"/>
    <w:rPr>
      <w:vertAlign w:val="superscript"/>
    </w:rPr>
  </w:style>
  <w:style w:type="paragraph" w:styleId="Encabezado">
    <w:name w:val="header"/>
    <w:basedOn w:val="Normal"/>
    <w:link w:val="EncabezadoCar"/>
    <w:uiPriority w:val="99"/>
    <w:unhideWhenUsed/>
    <w:rsid w:val="00592B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2BD9"/>
  </w:style>
  <w:style w:type="paragraph" w:styleId="Piedepgina">
    <w:name w:val="footer"/>
    <w:basedOn w:val="Normal"/>
    <w:link w:val="PiedepginaCar"/>
    <w:uiPriority w:val="99"/>
    <w:unhideWhenUsed/>
    <w:rsid w:val="00592B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2BD9"/>
  </w:style>
  <w:style w:type="character" w:styleId="Mencinsinresolver">
    <w:name w:val="Unresolved Mention"/>
    <w:basedOn w:val="Fuentedeprrafopredeter"/>
    <w:uiPriority w:val="99"/>
    <w:semiHidden/>
    <w:unhideWhenUsed/>
    <w:rsid w:val="00592BD9"/>
    <w:rPr>
      <w:color w:val="605E5C"/>
      <w:shd w:val="clear" w:color="auto" w:fill="E1DFDD"/>
    </w:rPr>
  </w:style>
  <w:style w:type="paragraph" w:styleId="Prrafodelista">
    <w:name w:val="List Paragraph"/>
    <w:basedOn w:val="Normal"/>
    <w:uiPriority w:val="34"/>
    <w:qFormat/>
    <w:pPr>
      <w:ind w:left="720"/>
      <w:contextualSpacing/>
    </w:pPr>
  </w:style>
  <w:style w:type="table" w:styleId="Tablanormal2">
    <w:name w:val="Plain Table 2"/>
    <w:basedOn w:val="Tabla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6013">
      <w:bodyDiv w:val="1"/>
      <w:marLeft w:val="0"/>
      <w:marRight w:val="0"/>
      <w:marTop w:val="0"/>
      <w:marBottom w:val="0"/>
      <w:divBdr>
        <w:top w:val="none" w:sz="0" w:space="0" w:color="auto"/>
        <w:left w:val="none" w:sz="0" w:space="0" w:color="auto"/>
        <w:bottom w:val="none" w:sz="0" w:space="0" w:color="auto"/>
        <w:right w:val="none" w:sz="0" w:space="0" w:color="auto"/>
      </w:divBdr>
    </w:div>
    <w:div w:id="226961283">
      <w:bodyDiv w:val="1"/>
      <w:marLeft w:val="0"/>
      <w:marRight w:val="0"/>
      <w:marTop w:val="0"/>
      <w:marBottom w:val="0"/>
      <w:divBdr>
        <w:top w:val="none" w:sz="0" w:space="0" w:color="auto"/>
        <w:left w:val="none" w:sz="0" w:space="0" w:color="auto"/>
        <w:bottom w:val="none" w:sz="0" w:space="0" w:color="auto"/>
        <w:right w:val="none" w:sz="0" w:space="0" w:color="auto"/>
      </w:divBdr>
    </w:div>
    <w:div w:id="309603112">
      <w:bodyDiv w:val="1"/>
      <w:marLeft w:val="0"/>
      <w:marRight w:val="0"/>
      <w:marTop w:val="0"/>
      <w:marBottom w:val="0"/>
      <w:divBdr>
        <w:top w:val="none" w:sz="0" w:space="0" w:color="auto"/>
        <w:left w:val="none" w:sz="0" w:space="0" w:color="auto"/>
        <w:bottom w:val="none" w:sz="0" w:space="0" w:color="auto"/>
        <w:right w:val="none" w:sz="0" w:space="0" w:color="auto"/>
      </w:divBdr>
      <w:divsChild>
        <w:div w:id="2105344347">
          <w:marLeft w:val="0"/>
          <w:marRight w:val="0"/>
          <w:marTop w:val="0"/>
          <w:marBottom w:val="0"/>
          <w:divBdr>
            <w:top w:val="none" w:sz="0" w:space="0" w:color="auto"/>
            <w:left w:val="none" w:sz="0" w:space="0" w:color="auto"/>
            <w:bottom w:val="none" w:sz="0" w:space="0" w:color="auto"/>
            <w:right w:val="none" w:sz="0" w:space="0" w:color="auto"/>
          </w:divBdr>
          <w:divsChild>
            <w:div w:id="6660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45003">
      <w:bodyDiv w:val="1"/>
      <w:marLeft w:val="0"/>
      <w:marRight w:val="0"/>
      <w:marTop w:val="0"/>
      <w:marBottom w:val="0"/>
      <w:divBdr>
        <w:top w:val="none" w:sz="0" w:space="0" w:color="auto"/>
        <w:left w:val="none" w:sz="0" w:space="0" w:color="auto"/>
        <w:bottom w:val="none" w:sz="0" w:space="0" w:color="auto"/>
        <w:right w:val="none" w:sz="0" w:space="0" w:color="auto"/>
      </w:divBdr>
    </w:div>
    <w:div w:id="1153447803">
      <w:bodyDiv w:val="1"/>
      <w:marLeft w:val="0"/>
      <w:marRight w:val="0"/>
      <w:marTop w:val="0"/>
      <w:marBottom w:val="0"/>
      <w:divBdr>
        <w:top w:val="none" w:sz="0" w:space="0" w:color="auto"/>
        <w:left w:val="none" w:sz="0" w:space="0" w:color="auto"/>
        <w:bottom w:val="none" w:sz="0" w:space="0" w:color="auto"/>
        <w:right w:val="none" w:sz="0" w:space="0" w:color="auto"/>
      </w:divBdr>
      <w:divsChild>
        <w:div w:id="505635755">
          <w:marLeft w:val="0"/>
          <w:marRight w:val="0"/>
          <w:marTop w:val="0"/>
          <w:marBottom w:val="0"/>
          <w:divBdr>
            <w:top w:val="none" w:sz="0" w:space="0" w:color="auto"/>
            <w:left w:val="none" w:sz="0" w:space="0" w:color="auto"/>
            <w:bottom w:val="none" w:sz="0" w:space="0" w:color="auto"/>
            <w:right w:val="none" w:sz="0" w:space="0" w:color="auto"/>
          </w:divBdr>
        </w:div>
      </w:divsChild>
    </w:div>
    <w:div w:id="1256205860">
      <w:bodyDiv w:val="1"/>
      <w:marLeft w:val="0"/>
      <w:marRight w:val="0"/>
      <w:marTop w:val="0"/>
      <w:marBottom w:val="0"/>
      <w:divBdr>
        <w:top w:val="none" w:sz="0" w:space="0" w:color="auto"/>
        <w:left w:val="none" w:sz="0" w:space="0" w:color="auto"/>
        <w:bottom w:val="none" w:sz="0" w:space="0" w:color="auto"/>
        <w:right w:val="none" w:sz="0" w:space="0" w:color="auto"/>
      </w:divBdr>
      <w:divsChild>
        <w:div w:id="270630526">
          <w:marLeft w:val="0"/>
          <w:marRight w:val="0"/>
          <w:marTop w:val="0"/>
          <w:marBottom w:val="0"/>
          <w:divBdr>
            <w:top w:val="none" w:sz="0" w:space="0" w:color="auto"/>
            <w:left w:val="none" w:sz="0" w:space="0" w:color="auto"/>
            <w:bottom w:val="none" w:sz="0" w:space="0" w:color="auto"/>
            <w:right w:val="none" w:sz="0" w:space="0" w:color="auto"/>
          </w:divBdr>
          <w:divsChild>
            <w:div w:id="1425420192">
              <w:marLeft w:val="0"/>
              <w:marRight w:val="0"/>
              <w:marTop w:val="0"/>
              <w:marBottom w:val="0"/>
              <w:divBdr>
                <w:top w:val="none" w:sz="0" w:space="0" w:color="auto"/>
                <w:left w:val="none" w:sz="0" w:space="0" w:color="auto"/>
                <w:bottom w:val="none" w:sz="0" w:space="0" w:color="auto"/>
                <w:right w:val="none" w:sz="0" w:space="0" w:color="auto"/>
              </w:divBdr>
              <w:divsChild>
                <w:div w:id="1586527523">
                  <w:marLeft w:val="0"/>
                  <w:marRight w:val="0"/>
                  <w:marTop w:val="0"/>
                  <w:marBottom w:val="0"/>
                  <w:divBdr>
                    <w:top w:val="none" w:sz="0" w:space="0" w:color="auto"/>
                    <w:left w:val="none" w:sz="0" w:space="0" w:color="auto"/>
                    <w:bottom w:val="none" w:sz="0" w:space="0" w:color="auto"/>
                    <w:right w:val="none" w:sz="0" w:space="0" w:color="auto"/>
                  </w:divBdr>
                  <w:divsChild>
                    <w:div w:id="1267620929">
                      <w:marLeft w:val="0"/>
                      <w:marRight w:val="0"/>
                      <w:marTop w:val="0"/>
                      <w:marBottom w:val="0"/>
                      <w:divBdr>
                        <w:top w:val="none" w:sz="0" w:space="0" w:color="auto"/>
                        <w:left w:val="none" w:sz="0" w:space="0" w:color="auto"/>
                        <w:bottom w:val="none" w:sz="0" w:space="0" w:color="auto"/>
                        <w:right w:val="none" w:sz="0" w:space="0" w:color="auto"/>
                      </w:divBdr>
                      <w:divsChild>
                        <w:div w:id="1499539527">
                          <w:marLeft w:val="0"/>
                          <w:marRight w:val="0"/>
                          <w:marTop w:val="0"/>
                          <w:marBottom w:val="0"/>
                          <w:divBdr>
                            <w:top w:val="none" w:sz="0" w:space="0" w:color="auto"/>
                            <w:left w:val="none" w:sz="0" w:space="0" w:color="auto"/>
                            <w:bottom w:val="none" w:sz="0" w:space="0" w:color="auto"/>
                            <w:right w:val="none" w:sz="0" w:space="0" w:color="auto"/>
                          </w:divBdr>
                          <w:divsChild>
                            <w:div w:id="19784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11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diagramData" Target="diagrams/data3.xml"/><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diagramColors" Target="diagrams/colors3.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3.tiff"/><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rayyan.ai/"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F04074-BF68-4DB8-BBCB-A1E0D73D4F7E}"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es-CO"/>
        </a:p>
      </dgm:t>
    </dgm:pt>
    <dgm:pt modelId="{B9971743-DCAA-4054-ACCF-CA0D8C2A8313}">
      <dgm:prSet phldrT="[Texto]" custT="1"/>
      <dgm:spPr/>
      <dgm:t>
        <a:bodyPr/>
        <a:lstStyle/>
        <a:p>
          <a:pPr algn="ctr"/>
          <a:r>
            <a:rPr lang="es-CO" sz="1000" b="1"/>
            <a:t>Formulación de pregunta </a:t>
          </a:r>
          <a:r>
            <a:rPr lang="es-CO" sz="900" b="1"/>
            <a:t>investigación</a:t>
          </a:r>
          <a:endParaRPr lang="es-CO" sz="1000" b="1"/>
        </a:p>
      </dgm:t>
    </dgm:pt>
    <dgm:pt modelId="{A89F7F17-7BBC-48AF-9D79-1E18F6763977}" type="parTrans" cxnId="{47EACEB7-40A7-4473-AF21-8F4048C7E0CC}">
      <dgm:prSet/>
      <dgm:spPr/>
      <dgm:t>
        <a:bodyPr/>
        <a:lstStyle/>
        <a:p>
          <a:pPr algn="ctr"/>
          <a:endParaRPr lang="es-CO" sz="2800" b="1"/>
        </a:p>
      </dgm:t>
    </dgm:pt>
    <dgm:pt modelId="{F9756A58-87D2-40FD-9A35-079F212E2CC5}" type="sibTrans" cxnId="{47EACEB7-40A7-4473-AF21-8F4048C7E0CC}">
      <dgm:prSet/>
      <dgm:spPr/>
      <dgm:t>
        <a:bodyPr/>
        <a:lstStyle/>
        <a:p>
          <a:pPr algn="ctr"/>
          <a:endParaRPr lang="es-CO" sz="2800" b="1"/>
        </a:p>
      </dgm:t>
    </dgm:pt>
    <dgm:pt modelId="{9AAA45BB-7556-4EE5-B79B-1E1B9260D948}">
      <dgm:prSet custT="1"/>
      <dgm:spPr/>
      <dgm:t>
        <a:bodyPr/>
        <a:lstStyle/>
        <a:p>
          <a:pPr algn="ctr"/>
          <a:r>
            <a:rPr lang="es-CO" sz="900" b="1"/>
            <a:t>Identificación</a:t>
          </a:r>
          <a:r>
            <a:rPr lang="es-CO" sz="1000" b="1"/>
            <a:t> de estudios relevantes</a:t>
          </a:r>
        </a:p>
      </dgm:t>
    </dgm:pt>
    <dgm:pt modelId="{8F9DB0FB-010A-44AD-8EAC-07B8795A9AE4}" type="parTrans" cxnId="{C444AC36-48F3-4E66-ADBE-0F63793992C2}">
      <dgm:prSet/>
      <dgm:spPr/>
      <dgm:t>
        <a:bodyPr/>
        <a:lstStyle/>
        <a:p>
          <a:pPr algn="ctr"/>
          <a:endParaRPr lang="es-CO" sz="2800" b="1"/>
        </a:p>
      </dgm:t>
    </dgm:pt>
    <dgm:pt modelId="{16B79A9C-BB2C-46CD-8711-848B80925589}" type="sibTrans" cxnId="{C444AC36-48F3-4E66-ADBE-0F63793992C2}">
      <dgm:prSet/>
      <dgm:spPr/>
      <dgm:t>
        <a:bodyPr/>
        <a:lstStyle/>
        <a:p>
          <a:pPr algn="ctr"/>
          <a:endParaRPr lang="es-CO" sz="2800" b="1"/>
        </a:p>
      </dgm:t>
    </dgm:pt>
    <dgm:pt modelId="{822C0001-13FD-47F6-8404-5CF56035114B}">
      <dgm:prSet custT="1"/>
      <dgm:spPr/>
      <dgm:t>
        <a:bodyPr/>
        <a:lstStyle/>
        <a:p>
          <a:pPr algn="ctr"/>
          <a:r>
            <a:rPr lang="es-CO" sz="1050" b="1"/>
            <a:t>Selección de estudios</a:t>
          </a:r>
        </a:p>
      </dgm:t>
    </dgm:pt>
    <dgm:pt modelId="{43D332A6-B082-45B8-821D-167278F9E5A4}" type="parTrans" cxnId="{DD4329C5-8B95-4C5D-87FC-45710AE3987C}">
      <dgm:prSet/>
      <dgm:spPr/>
      <dgm:t>
        <a:bodyPr/>
        <a:lstStyle/>
        <a:p>
          <a:pPr algn="ctr"/>
          <a:endParaRPr lang="es-CO" sz="2800" b="1"/>
        </a:p>
      </dgm:t>
    </dgm:pt>
    <dgm:pt modelId="{FC89EECB-29F9-44E5-8EB0-9CE745979AEC}" type="sibTrans" cxnId="{DD4329C5-8B95-4C5D-87FC-45710AE3987C}">
      <dgm:prSet/>
      <dgm:spPr/>
      <dgm:t>
        <a:bodyPr/>
        <a:lstStyle/>
        <a:p>
          <a:pPr algn="ctr"/>
          <a:endParaRPr lang="es-CO" sz="2800" b="1"/>
        </a:p>
      </dgm:t>
    </dgm:pt>
    <dgm:pt modelId="{B3C1778B-7513-45EE-8E08-786F4D5C034E}">
      <dgm:prSet custT="1"/>
      <dgm:spPr/>
      <dgm:t>
        <a:bodyPr/>
        <a:lstStyle/>
        <a:p>
          <a:pPr algn="ctr"/>
          <a:r>
            <a:rPr lang="es-CO" sz="1050" b="1"/>
            <a:t>Gráficos de los datos</a:t>
          </a:r>
        </a:p>
      </dgm:t>
    </dgm:pt>
    <dgm:pt modelId="{B4A62FF2-17DB-41EC-A0C5-621C9A0D72F3}" type="parTrans" cxnId="{0D32D768-0B4F-4FF4-821B-F067C0A521F0}">
      <dgm:prSet/>
      <dgm:spPr/>
      <dgm:t>
        <a:bodyPr/>
        <a:lstStyle/>
        <a:p>
          <a:pPr algn="ctr"/>
          <a:endParaRPr lang="es-CO" sz="2800" b="1"/>
        </a:p>
      </dgm:t>
    </dgm:pt>
    <dgm:pt modelId="{905C1873-4A23-4616-B0F2-D75797E291AB}" type="sibTrans" cxnId="{0D32D768-0B4F-4FF4-821B-F067C0A521F0}">
      <dgm:prSet/>
      <dgm:spPr/>
      <dgm:t>
        <a:bodyPr/>
        <a:lstStyle/>
        <a:p>
          <a:pPr algn="ctr"/>
          <a:endParaRPr lang="es-CO" sz="2800" b="1"/>
        </a:p>
      </dgm:t>
    </dgm:pt>
    <dgm:pt modelId="{90B4EFF6-741F-41F0-868E-4603231C7982}">
      <dgm:prSet custT="1"/>
      <dgm:spPr/>
      <dgm:t>
        <a:bodyPr/>
        <a:lstStyle/>
        <a:p>
          <a:pPr algn="ctr"/>
          <a:r>
            <a:rPr lang="es-CO" sz="1050" b="1"/>
            <a:t>Cotejar, resumir y reportar los resultados</a:t>
          </a:r>
        </a:p>
      </dgm:t>
    </dgm:pt>
    <dgm:pt modelId="{4BF851F3-7660-43E7-AAD6-85E3A14B905E}" type="parTrans" cxnId="{524F06B9-BD17-4E1C-9648-5731A8A1F8D6}">
      <dgm:prSet/>
      <dgm:spPr/>
      <dgm:t>
        <a:bodyPr/>
        <a:lstStyle/>
        <a:p>
          <a:pPr algn="ctr"/>
          <a:endParaRPr lang="es-CO" sz="2800" b="1"/>
        </a:p>
      </dgm:t>
    </dgm:pt>
    <dgm:pt modelId="{D3E0A183-7149-4C9F-BA6A-41661F473E7D}" type="sibTrans" cxnId="{524F06B9-BD17-4E1C-9648-5731A8A1F8D6}">
      <dgm:prSet/>
      <dgm:spPr/>
      <dgm:t>
        <a:bodyPr/>
        <a:lstStyle/>
        <a:p>
          <a:pPr algn="ctr"/>
          <a:endParaRPr lang="es-CO" sz="2800" b="1"/>
        </a:p>
      </dgm:t>
    </dgm:pt>
    <dgm:pt modelId="{CC05DC51-827D-44E2-95C4-0E0FB6707789}" type="pres">
      <dgm:prSet presAssocID="{78F04074-BF68-4DB8-BBCB-A1E0D73D4F7E}" presName="cycle" presStyleCnt="0">
        <dgm:presLayoutVars>
          <dgm:dir/>
          <dgm:resizeHandles val="exact"/>
        </dgm:presLayoutVars>
      </dgm:prSet>
      <dgm:spPr/>
    </dgm:pt>
    <dgm:pt modelId="{49B2D8A2-3B97-446D-8A48-303B464E53A7}" type="pres">
      <dgm:prSet presAssocID="{B9971743-DCAA-4054-ACCF-CA0D8C2A8313}" presName="dummy" presStyleCnt="0"/>
      <dgm:spPr/>
    </dgm:pt>
    <dgm:pt modelId="{26F71F4F-783D-4959-B842-926FF2F831D0}" type="pres">
      <dgm:prSet presAssocID="{B9971743-DCAA-4054-ACCF-CA0D8C2A8313}" presName="node" presStyleLbl="revTx" presStyleIdx="0" presStyleCnt="5">
        <dgm:presLayoutVars>
          <dgm:bulletEnabled val="1"/>
        </dgm:presLayoutVars>
      </dgm:prSet>
      <dgm:spPr/>
    </dgm:pt>
    <dgm:pt modelId="{06B83F23-2896-4836-AAC0-D461A2E0F51D}" type="pres">
      <dgm:prSet presAssocID="{F9756A58-87D2-40FD-9A35-079F212E2CC5}" presName="sibTrans" presStyleLbl="node1" presStyleIdx="0" presStyleCnt="5"/>
      <dgm:spPr/>
    </dgm:pt>
    <dgm:pt modelId="{676C73B3-7B74-48A5-B023-A5A1948921F8}" type="pres">
      <dgm:prSet presAssocID="{9AAA45BB-7556-4EE5-B79B-1E1B9260D948}" presName="dummy" presStyleCnt="0"/>
      <dgm:spPr/>
    </dgm:pt>
    <dgm:pt modelId="{D6048216-03FD-4BF2-BC81-CC7E2B84326F}" type="pres">
      <dgm:prSet presAssocID="{9AAA45BB-7556-4EE5-B79B-1E1B9260D948}" presName="node" presStyleLbl="revTx" presStyleIdx="1" presStyleCnt="5">
        <dgm:presLayoutVars>
          <dgm:bulletEnabled val="1"/>
        </dgm:presLayoutVars>
      </dgm:prSet>
      <dgm:spPr/>
    </dgm:pt>
    <dgm:pt modelId="{8C347CF1-C53E-4F7E-BD12-0A80E1E9EE33}" type="pres">
      <dgm:prSet presAssocID="{16B79A9C-BB2C-46CD-8711-848B80925589}" presName="sibTrans" presStyleLbl="node1" presStyleIdx="1" presStyleCnt="5"/>
      <dgm:spPr/>
    </dgm:pt>
    <dgm:pt modelId="{0D8C8318-E72A-4A80-B565-640C45849C72}" type="pres">
      <dgm:prSet presAssocID="{822C0001-13FD-47F6-8404-5CF56035114B}" presName="dummy" presStyleCnt="0"/>
      <dgm:spPr/>
    </dgm:pt>
    <dgm:pt modelId="{AD41F460-34A9-4E77-BA30-5522AE92987D}" type="pres">
      <dgm:prSet presAssocID="{822C0001-13FD-47F6-8404-5CF56035114B}" presName="node" presStyleLbl="revTx" presStyleIdx="2" presStyleCnt="5">
        <dgm:presLayoutVars>
          <dgm:bulletEnabled val="1"/>
        </dgm:presLayoutVars>
      </dgm:prSet>
      <dgm:spPr/>
    </dgm:pt>
    <dgm:pt modelId="{B2A039D8-E993-40B8-8EB1-CBF9668A37EA}" type="pres">
      <dgm:prSet presAssocID="{FC89EECB-29F9-44E5-8EB0-9CE745979AEC}" presName="sibTrans" presStyleLbl="node1" presStyleIdx="2" presStyleCnt="5"/>
      <dgm:spPr/>
    </dgm:pt>
    <dgm:pt modelId="{9423CDEF-CAB6-4F6B-BE49-829829F9587F}" type="pres">
      <dgm:prSet presAssocID="{B3C1778B-7513-45EE-8E08-786F4D5C034E}" presName="dummy" presStyleCnt="0"/>
      <dgm:spPr/>
    </dgm:pt>
    <dgm:pt modelId="{B8BF303A-4EF6-4D9A-A663-66CAB76CD05E}" type="pres">
      <dgm:prSet presAssocID="{B3C1778B-7513-45EE-8E08-786F4D5C034E}" presName="node" presStyleLbl="revTx" presStyleIdx="3" presStyleCnt="5">
        <dgm:presLayoutVars>
          <dgm:bulletEnabled val="1"/>
        </dgm:presLayoutVars>
      </dgm:prSet>
      <dgm:spPr/>
    </dgm:pt>
    <dgm:pt modelId="{40048E68-3FC4-4F8B-9760-C73E36ACE53A}" type="pres">
      <dgm:prSet presAssocID="{905C1873-4A23-4616-B0F2-D75797E291AB}" presName="sibTrans" presStyleLbl="node1" presStyleIdx="3" presStyleCnt="5"/>
      <dgm:spPr/>
    </dgm:pt>
    <dgm:pt modelId="{6737C6A4-EDCC-45F3-BD08-9CC1D8F3ABC9}" type="pres">
      <dgm:prSet presAssocID="{90B4EFF6-741F-41F0-868E-4603231C7982}" presName="dummy" presStyleCnt="0"/>
      <dgm:spPr/>
    </dgm:pt>
    <dgm:pt modelId="{B53CA110-828A-4633-B7A6-D245333479C2}" type="pres">
      <dgm:prSet presAssocID="{90B4EFF6-741F-41F0-868E-4603231C7982}" presName="node" presStyleLbl="revTx" presStyleIdx="4" presStyleCnt="5">
        <dgm:presLayoutVars>
          <dgm:bulletEnabled val="1"/>
        </dgm:presLayoutVars>
      </dgm:prSet>
      <dgm:spPr/>
    </dgm:pt>
    <dgm:pt modelId="{AF1D06FD-5624-4102-A809-D0A80454F52A}" type="pres">
      <dgm:prSet presAssocID="{D3E0A183-7149-4C9F-BA6A-41661F473E7D}" presName="sibTrans" presStyleLbl="node1" presStyleIdx="4" presStyleCnt="5"/>
      <dgm:spPr/>
    </dgm:pt>
  </dgm:ptLst>
  <dgm:cxnLst>
    <dgm:cxn modelId="{F2414209-6826-4C19-AFD7-8D6F6EE706B4}" type="presOf" srcId="{822C0001-13FD-47F6-8404-5CF56035114B}" destId="{AD41F460-34A9-4E77-BA30-5522AE92987D}" srcOrd="0" destOrd="0" presId="urn:microsoft.com/office/officeart/2005/8/layout/cycle1"/>
    <dgm:cxn modelId="{2499840C-14E6-493C-AF90-B9F3643E3ADC}" type="presOf" srcId="{905C1873-4A23-4616-B0F2-D75797E291AB}" destId="{40048E68-3FC4-4F8B-9760-C73E36ACE53A}" srcOrd="0" destOrd="0" presId="urn:microsoft.com/office/officeart/2005/8/layout/cycle1"/>
    <dgm:cxn modelId="{A30BCC0C-A1C2-4831-AA4B-5EBA5FBECDEF}" type="presOf" srcId="{B9971743-DCAA-4054-ACCF-CA0D8C2A8313}" destId="{26F71F4F-783D-4959-B842-926FF2F831D0}" srcOrd="0" destOrd="0" presId="urn:microsoft.com/office/officeart/2005/8/layout/cycle1"/>
    <dgm:cxn modelId="{7A5B151D-96E5-47F9-9DFA-BC4B195FA164}" type="presOf" srcId="{78F04074-BF68-4DB8-BBCB-A1E0D73D4F7E}" destId="{CC05DC51-827D-44E2-95C4-0E0FB6707789}" srcOrd="0" destOrd="0" presId="urn:microsoft.com/office/officeart/2005/8/layout/cycle1"/>
    <dgm:cxn modelId="{C444AC36-48F3-4E66-ADBE-0F63793992C2}" srcId="{78F04074-BF68-4DB8-BBCB-A1E0D73D4F7E}" destId="{9AAA45BB-7556-4EE5-B79B-1E1B9260D948}" srcOrd="1" destOrd="0" parTransId="{8F9DB0FB-010A-44AD-8EAC-07B8795A9AE4}" sibTransId="{16B79A9C-BB2C-46CD-8711-848B80925589}"/>
    <dgm:cxn modelId="{8D916364-10C2-4555-9A28-159F1679449B}" type="presOf" srcId="{90B4EFF6-741F-41F0-868E-4603231C7982}" destId="{B53CA110-828A-4633-B7A6-D245333479C2}" srcOrd="0" destOrd="0" presId="urn:microsoft.com/office/officeart/2005/8/layout/cycle1"/>
    <dgm:cxn modelId="{0D32D768-0B4F-4FF4-821B-F067C0A521F0}" srcId="{78F04074-BF68-4DB8-BBCB-A1E0D73D4F7E}" destId="{B3C1778B-7513-45EE-8E08-786F4D5C034E}" srcOrd="3" destOrd="0" parTransId="{B4A62FF2-17DB-41EC-A0C5-621C9A0D72F3}" sibTransId="{905C1873-4A23-4616-B0F2-D75797E291AB}"/>
    <dgm:cxn modelId="{BD602389-7622-4785-9D76-0BD0DDE98933}" type="presOf" srcId="{D3E0A183-7149-4C9F-BA6A-41661F473E7D}" destId="{AF1D06FD-5624-4102-A809-D0A80454F52A}" srcOrd="0" destOrd="0" presId="urn:microsoft.com/office/officeart/2005/8/layout/cycle1"/>
    <dgm:cxn modelId="{9AFAD0B3-E4B5-481E-8C0B-577565C521BF}" type="presOf" srcId="{16B79A9C-BB2C-46CD-8711-848B80925589}" destId="{8C347CF1-C53E-4F7E-BD12-0A80E1E9EE33}" srcOrd="0" destOrd="0" presId="urn:microsoft.com/office/officeart/2005/8/layout/cycle1"/>
    <dgm:cxn modelId="{61BB82B7-54B5-4D5D-AB42-4AA152199FED}" type="presOf" srcId="{9AAA45BB-7556-4EE5-B79B-1E1B9260D948}" destId="{D6048216-03FD-4BF2-BC81-CC7E2B84326F}" srcOrd="0" destOrd="0" presId="urn:microsoft.com/office/officeart/2005/8/layout/cycle1"/>
    <dgm:cxn modelId="{47EACEB7-40A7-4473-AF21-8F4048C7E0CC}" srcId="{78F04074-BF68-4DB8-BBCB-A1E0D73D4F7E}" destId="{B9971743-DCAA-4054-ACCF-CA0D8C2A8313}" srcOrd="0" destOrd="0" parTransId="{A89F7F17-7BBC-48AF-9D79-1E18F6763977}" sibTransId="{F9756A58-87D2-40FD-9A35-079F212E2CC5}"/>
    <dgm:cxn modelId="{524F06B9-BD17-4E1C-9648-5731A8A1F8D6}" srcId="{78F04074-BF68-4DB8-BBCB-A1E0D73D4F7E}" destId="{90B4EFF6-741F-41F0-868E-4603231C7982}" srcOrd="4" destOrd="0" parTransId="{4BF851F3-7660-43E7-AAD6-85E3A14B905E}" sibTransId="{D3E0A183-7149-4C9F-BA6A-41661F473E7D}"/>
    <dgm:cxn modelId="{38DAF1B9-1357-4B86-9D88-C480FEC61FD6}" type="presOf" srcId="{F9756A58-87D2-40FD-9A35-079F212E2CC5}" destId="{06B83F23-2896-4836-AAC0-D461A2E0F51D}" srcOrd="0" destOrd="0" presId="urn:microsoft.com/office/officeart/2005/8/layout/cycle1"/>
    <dgm:cxn modelId="{8C46FDB9-3C80-4A39-9677-3B96FA2FB4A5}" type="presOf" srcId="{B3C1778B-7513-45EE-8E08-786F4D5C034E}" destId="{B8BF303A-4EF6-4D9A-A663-66CAB76CD05E}" srcOrd="0" destOrd="0" presId="urn:microsoft.com/office/officeart/2005/8/layout/cycle1"/>
    <dgm:cxn modelId="{DD4329C5-8B95-4C5D-87FC-45710AE3987C}" srcId="{78F04074-BF68-4DB8-BBCB-A1E0D73D4F7E}" destId="{822C0001-13FD-47F6-8404-5CF56035114B}" srcOrd="2" destOrd="0" parTransId="{43D332A6-B082-45B8-821D-167278F9E5A4}" sibTransId="{FC89EECB-29F9-44E5-8EB0-9CE745979AEC}"/>
    <dgm:cxn modelId="{0C2E5BD3-3176-44AA-80F8-0ADCDF8FC376}" type="presOf" srcId="{FC89EECB-29F9-44E5-8EB0-9CE745979AEC}" destId="{B2A039D8-E993-40B8-8EB1-CBF9668A37EA}" srcOrd="0" destOrd="0" presId="urn:microsoft.com/office/officeart/2005/8/layout/cycle1"/>
    <dgm:cxn modelId="{30D12306-BB58-4FF1-B232-E9596A9DCBB8}" type="presParOf" srcId="{CC05DC51-827D-44E2-95C4-0E0FB6707789}" destId="{49B2D8A2-3B97-446D-8A48-303B464E53A7}" srcOrd="0" destOrd="0" presId="urn:microsoft.com/office/officeart/2005/8/layout/cycle1"/>
    <dgm:cxn modelId="{A63D5FCB-599E-4525-B49F-8C7148A5AFA9}" type="presParOf" srcId="{CC05DC51-827D-44E2-95C4-0E0FB6707789}" destId="{26F71F4F-783D-4959-B842-926FF2F831D0}" srcOrd="1" destOrd="0" presId="urn:microsoft.com/office/officeart/2005/8/layout/cycle1"/>
    <dgm:cxn modelId="{B94E1003-9D71-40D7-9486-8C20EB78D816}" type="presParOf" srcId="{CC05DC51-827D-44E2-95C4-0E0FB6707789}" destId="{06B83F23-2896-4836-AAC0-D461A2E0F51D}" srcOrd="2" destOrd="0" presId="urn:microsoft.com/office/officeart/2005/8/layout/cycle1"/>
    <dgm:cxn modelId="{2E480E75-1813-4C3E-BCB7-360EE6274558}" type="presParOf" srcId="{CC05DC51-827D-44E2-95C4-0E0FB6707789}" destId="{676C73B3-7B74-48A5-B023-A5A1948921F8}" srcOrd="3" destOrd="0" presId="urn:microsoft.com/office/officeart/2005/8/layout/cycle1"/>
    <dgm:cxn modelId="{DC097D3F-58DE-4528-950F-9234A5D1F11D}" type="presParOf" srcId="{CC05DC51-827D-44E2-95C4-0E0FB6707789}" destId="{D6048216-03FD-4BF2-BC81-CC7E2B84326F}" srcOrd="4" destOrd="0" presId="urn:microsoft.com/office/officeart/2005/8/layout/cycle1"/>
    <dgm:cxn modelId="{F57707B5-8015-4175-875C-737022B5F80D}" type="presParOf" srcId="{CC05DC51-827D-44E2-95C4-0E0FB6707789}" destId="{8C347CF1-C53E-4F7E-BD12-0A80E1E9EE33}" srcOrd="5" destOrd="0" presId="urn:microsoft.com/office/officeart/2005/8/layout/cycle1"/>
    <dgm:cxn modelId="{3D4B796C-ABC4-4D5F-A86F-E8E798FDFE88}" type="presParOf" srcId="{CC05DC51-827D-44E2-95C4-0E0FB6707789}" destId="{0D8C8318-E72A-4A80-B565-640C45849C72}" srcOrd="6" destOrd="0" presId="urn:microsoft.com/office/officeart/2005/8/layout/cycle1"/>
    <dgm:cxn modelId="{D366D7A1-9C1A-4018-AB71-70CA1F92DC7D}" type="presParOf" srcId="{CC05DC51-827D-44E2-95C4-0E0FB6707789}" destId="{AD41F460-34A9-4E77-BA30-5522AE92987D}" srcOrd="7" destOrd="0" presId="urn:microsoft.com/office/officeart/2005/8/layout/cycle1"/>
    <dgm:cxn modelId="{39AB8D66-C246-49E2-9FD1-4E722766F32F}" type="presParOf" srcId="{CC05DC51-827D-44E2-95C4-0E0FB6707789}" destId="{B2A039D8-E993-40B8-8EB1-CBF9668A37EA}" srcOrd="8" destOrd="0" presId="urn:microsoft.com/office/officeart/2005/8/layout/cycle1"/>
    <dgm:cxn modelId="{D1A8FCD2-A706-47F0-A451-757C1221E40D}" type="presParOf" srcId="{CC05DC51-827D-44E2-95C4-0E0FB6707789}" destId="{9423CDEF-CAB6-4F6B-BE49-829829F9587F}" srcOrd="9" destOrd="0" presId="urn:microsoft.com/office/officeart/2005/8/layout/cycle1"/>
    <dgm:cxn modelId="{880B6BFC-75FC-4E71-B2D1-3A4C1AC87F4E}" type="presParOf" srcId="{CC05DC51-827D-44E2-95C4-0E0FB6707789}" destId="{B8BF303A-4EF6-4D9A-A663-66CAB76CD05E}" srcOrd="10" destOrd="0" presId="urn:microsoft.com/office/officeart/2005/8/layout/cycle1"/>
    <dgm:cxn modelId="{5A0A6098-17B8-48C8-AD72-2134ED8D1A2E}" type="presParOf" srcId="{CC05DC51-827D-44E2-95C4-0E0FB6707789}" destId="{40048E68-3FC4-4F8B-9760-C73E36ACE53A}" srcOrd="11" destOrd="0" presId="urn:microsoft.com/office/officeart/2005/8/layout/cycle1"/>
    <dgm:cxn modelId="{462E958D-5E78-4F29-AF7D-0A0B1C16AFD2}" type="presParOf" srcId="{CC05DC51-827D-44E2-95C4-0E0FB6707789}" destId="{6737C6A4-EDCC-45F3-BD08-9CC1D8F3ABC9}" srcOrd="12" destOrd="0" presId="urn:microsoft.com/office/officeart/2005/8/layout/cycle1"/>
    <dgm:cxn modelId="{35C70692-8DC9-43F4-A46F-E62D0CDFAA7F}" type="presParOf" srcId="{CC05DC51-827D-44E2-95C4-0E0FB6707789}" destId="{B53CA110-828A-4633-B7A6-D245333479C2}" srcOrd="13" destOrd="0" presId="urn:microsoft.com/office/officeart/2005/8/layout/cycle1"/>
    <dgm:cxn modelId="{C03C43F5-F8C1-419A-BBD2-175117AC6F8F}" type="presParOf" srcId="{CC05DC51-827D-44E2-95C4-0E0FB6707789}" destId="{AF1D06FD-5624-4102-A809-D0A80454F52A}" srcOrd="14" destOrd="0" presId="urn:microsoft.com/office/officeart/2005/8/layout/cycle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607694-CACF-3E45-993E-4143896F7966}" type="doc">
      <dgm:prSet loTypeId="urn:microsoft.com/office/officeart/2009/3/layout/PieProcess" loCatId="process" qsTypeId="urn:microsoft.com/office/officeart/2005/8/quickstyle/simple2" qsCatId="simple" csTypeId="urn:microsoft.com/office/officeart/2005/8/colors/colorful1" csCatId="colorful" phldr="1"/>
      <dgm:spPr/>
      <dgm:t>
        <a:bodyPr/>
        <a:lstStyle/>
        <a:p>
          <a:endParaRPr lang="es-ES"/>
        </a:p>
      </dgm:t>
    </dgm:pt>
    <dgm:pt modelId="{3C6146D0-E9B6-9A41-B4AF-A06D1EE76EFC}">
      <dgm:prSet phldrT="[Texto]" custT="1"/>
      <dgm:spPr/>
      <dgm:t>
        <a:bodyPr/>
        <a:lstStyle/>
        <a:p>
          <a:r>
            <a:rPr lang="es-CO" sz="1050" b="1"/>
            <a:t>Una pregunta claramente articulada</a:t>
          </a:r>
          <a:endParaRPr lang="es-ES" sz="1050" b="1"/>
        </a:p>
      </dgm:t>
    </dgm:pt>
    <dgm:pt modelId="{8DC6ADF6-27AB-D145-BB96-B8824FE96143}" type="parTrans" cxnId="{9B927528-3FB4-064B-82DC-10D4DD60D9DF}">
      <dgm:prSet/>
      <dgm:spPr/>
      <dgm:t>
        <a:bodyPr/>
        <a:lstStyle/>
        <a:p>
          <a:endParaRPr lang="es-ES" sz="3200" b="1"/>
        </a:p>
      </dgm:t>
    </dgm:pt>
    <dgm:pt modelId="{744DEF81-CA79-B14E-BEFA-033AA6713779}" type="sibTrans" cxnId="{9B927528-3FB4-064B-82DC-10D4DD60D9DF}">
      <dgm:prSet/>
      <dgm:spPr/>
      <dgm:t>
        <a:bodyPr/>
        <a:lstStyle/>
        <a:p>
          <a:endParaRPr lang="es-ES" sz="3200" b="1"/>
        </a:p>
      </dgm:t>
    </dgm:pt>
    <dgm:pt modelId="{534D50E9-DA05-F048-908B-AC9518A8C0C3}">
      <dgm:prSet custT="1"/>
      <dgm:spPr/>
      <dgm:t>
        <a:bodyPr/>
        <a:lstStyle/>
        <a:p>
          <a:r>
            <a:rPr lang="es-CO" sz="1050" b="1"/>
            <a:t>Medios para resumir y presentar las síntesis y análisis</a:t>
          </a:r>
          <a:endParaRPr lang="es-ES" sz="1050" b="1"/>
        </a:p>
      </dgm:t>
    </dgm:pt>
    <dgm:pt modelId="{1C1D3191-D41E-8F44-B124-089C7D6C6F2F}" type="parTrans" cxnId="{2771B399-A686-874E-8CDE-CCE728685F1B}">
      <dgm:prSet/>
      <dgm:spPr/>
      <dgm:t>
        <a:bodyPr/>
        <a:lstStyle/>
        <a:p>
          <a:endParaRPr lang="es-ES" sz="3200" b="1"/>
        </a:p>
      </dgm:t>
    </dgm:pt>
    <dgm:pt modelId="{9DEDDC2C-D2DB-7C43-826C-FBF526522D92}" type="sibTrans" cxnId="{2771B399-A686-874E-8CDE-CCE728685F1B}">
      <dgm:prSet/>
      <dgm:spPr/>
      <dgm:t>
        <a:bodyPr/>
        <a:lstStyle/>
        <a:p>
          <a:endParaRPr lang="es-ES" sz="3200" b="1"/>
        </a:p>
      </dgm:t>
    </dgm:pt>
    <dgm:pt modelId="{F12FBE22-AF90-4D30-99BD-D083B8F59809}">
      <dgm:prSet custT="1"/>
      <dgm:spPr/>
      <dgm:t>
        <a:bodyPr/>
        <a:lstStyle/>
        <a:p>
          <a:r>
            <a:rPr lang="es-CO" sz="1050" b="1"/>
            <a:t>Unos criterios de inclusión y exlusuión  detallados</a:t>
          </a:r>
        </a:p>
      </dgm:t>
    </dgm:pt>
    <dgm:pt modelId="{4D9394F7-F932-47C7-966D-40F1627FA3E5}" type="parTrans" cxnId="{1B5665BC-999C-41DE-B4FB-F9E3ED3A8A3B}">
      <dgm:prSet/>
      <dgm:spPr/>
      <dgm:t>
        <a:bodyPr/>
        <a:lstStyle/>
        <a:p>
          <a:endParaRPr lang="es-CO" sz="3200" b="1"/>
        </a:p>
      </dgm:t>
    </dgm:pt>
    <dgm:pt modelId="{9284D5FA-67DC-487A-A3EE-F13B6866188F}" type="sibTrans" cxnId="{1B5665BC-999C-41DE-B4FB-F9E3ED3A8A3B}">
      <dgm:prSet/>
      <dgm:spPr/>
      <dgm:t>
        <a:bodyPr/>
        <a:lstStyle/>
        <a:p>
          <a:endParaRPr lang="es-CO" sz="3200" b="1"/>
        </a:p>
      </dgm:t>
    </dgm:pt>
    <dgm:pt modelId="{FD7C62AD-1AE5-4335-B983-82C23BC9C578}">
      <dgm:prSet custT="1"/>
      <dgm:spPr/>
      <dgm:t>
        <a:bodyPr/>
        <a:lstStyle/>
        <a:p>
          <a:r>
            <a:rPr lang="es-CO" sz="1050" b="1"/>
            <a:t>Un proceso de búsqueda para identificar las revisiones existentes pertinentes</a:t>
          </a:r>
        </a:p>
      </dgm:t>
    </dgm:pt>
    <dgm:pt modelId="{A72202AF-5EFD-4679-A57A-91889F2DC9FF}" type="parTrans" cxnId="{3E14A733-359A-475D-AAF2-4DC436B4CB16}">
      <dgm:prSet/>
      <dgm:spPr/>
      <dgm:t>
        <a:bodyPr/>
        <a:lstStyle/>
        <a:p>
          <a:endParaRPr lang="es-CO" sz="3200" b="1"/>
        </a:p>
      </dgm:t>
    </dgm:pt>
    <dgm:pt modelId="{8BFE7458-2076-4124-BCE9-2D8E1B03DD17}" type="sibTrans" cxnId="{3E14A733-359A-475D-AAF2-4DC436B4CB16}">
      <dgm:prSet/>
      <dgm:spPr/>
      <dgm:t>
        <a:bodyPr/>
        <a:lstStyle/>
        <a:p>
          <a:endParaRPr lang="es-CO" sz="3200" b="1"/>
        </a:p>
      </dgm:t>
    </dgm:pt>
    <dgm:pt modelId="{55DADBFF-CCC6-4490-9C10-D76D5C5A8C38}">
      <dgm:prSet custT="1"/>
      <dgm:spPr/>
      <dgm:t>
        <a:bodyPr/>
        <a:lstStyle/>
        <a:p>
          <a:r>
            <a:rPr lang="es-CO" sz="1050" b="1" u="none"/>
            <a:t>U</a:t>
          </a:r>
          <a:r>
            <a:rPr lang="es-CO" sz="1050" b="1"/>
            <a:t>n método de evaluación crítica de las revisiones incluidas </a:t>
          </a:r>
        </a:p>
      </dgm:t>
    </dgm:pt>
    <dgm:pt modelId="{FEA14EF8-2A09-46AD-B3CB-0F25406DBAA3}" type="parTrans" cxnId="{9FA9685A-2606-4966-990B-3B2D84776B82}">
      <dgm:prSet/>
      <dgm:spPr/>
      <dgm:t>
        <a:bodyPr/>
        <a:lstStyle/>
        <a:p>
          <a:endParaRPr lang="es-CO" sz="3200" b="1"/>
        </a:p>
      </dgm:t>
    </dgm:pt>
    <dgm:pt modelId="{35F0F379-B41C-40F7-9861-EFD2A074DAF2}" type="sibTrans" cxnId="{9FA9685A-2606-4966-990B-3B2D84776B82}">
      <dgm:prSet/>
      <dgm:spPr/>
      <dgm:t>
        <a:bodyPr/>
        <a:lstStyle/>
        <a:p>
          <a:endParaRPr lang="es-CO" sz="3200" b="1"/>
        </a:p>
      </dgm:t>
    </dgm:pt>
    <dgm:pt modelId="{6C0418EF-8A43-4A30-A8C0-FB84FFB584F0}">
      <dgm:prSet custT="1"/>
      <dgm:spPr/>
      <dgm:t>
        <a:bodyPr/>
        <a:lstStyle/>
        <a:p>
          <a:r>
            <a:rPr lang="es-CO" sz="1050" b="1"/>
            <a:t>Un proceso formal de extracción de datos </a:t>
          </a:r>
        </a:p>
      </dgm:t>
    </dgm:pt>
    <dgm:pt modelId="{322CF121-89C7-4732-97C3-0489ADEA0E68}" type="parTrans" cxnId="{A25618FA-81EC-4DD0-B55C-9B35C6705E9A}">
      <dgm:prSet/>
      <dgm:spPr/>
      <dgm:t>
        <a:bodyPr/>
        <a:lstStyle/>
        <a:p>
          <a:endParaRPr lang="es-CO" sz="3200" b="1"/>
        </a:p>
      </dgm:t>
    </dgm:pt>
    <dgm:pt modelId="{4CD5C417-4DEC-47BC-9873-EB6F8944B59E}" type="sibTrans" cxnId="{A25618FA-81EC-4DD0-B55C-9B35C6705E9A}">
      <dgm:prSet/>
      <dgm:spPr/>
      <dgm:t>
        <a:bodyPr/>
        <a:lstStyle/>
        <a:p>
          <a:endParaRPr lang="es-CO" sz="3200" b="1"/>
        </a:p>
      </dgm:t>
    </dgm:pt>
    <dgm:pt modelId="{C3B4AC43-3437-4465-A614-58AB3CD7283B}" type="pres">
      <dgm:prSet presAssocID="{5B607694-CACF-3E45-993E-4143896F7966}" presName="Name0" presStyleCnt="0">
        <dgm:presLayoutVars>
          <dgm:chMax val="7"/>
          <dgm:chPref val="7"/>
          <dgm:dir/>
          <dgm:animOne val="branch"/>
          <dgm:animLvl val="lvl"/>
        </dgm:presLayoutVars>
      </dgm:prSet>
      <dgm:spPr/>
    </dgm:pt>
    <dgm:pt modelId="{F73D3785-2259-42F6-A90B-D69B5DC4E496}" type="pres">
      <dgm:prSet presAssocID="{3C6146D0-E9B6-9A41-B4AF-A06D1EE76EFC}" presName="ParentComposite" presStyleCnt="0"/>
      <dgm:spPr/>
    </dgm:pt>
    <dgm:pt modelId="{64DCDC69-7BD7-4132-9B43-DE1B2918B86E}" type="pres">
      <dgm:prSet presAssocID="{3C6146D0-E9B6-9A41-B4AF-A06D1EE76EFC}" presName="Chord" presStyleLbl="bgShp" presStyleIdx="0" presStyleCnt="6"/>
      <dgm:spPr/>
    </dgm:pt>
    <dgm:pt modelId="{EEC8D47D-35E1-4735-9152-B8D64834AB97}" type="pres">
      <dgm:prSet presAssocID="{3C6146D0-E9B6-9A41-B4AF-A06D1EE76EFC}" presName="Pie" presStyleLbl="alignNode1" presStyleIdx="0" presStyleCnt="6"/>
      <dgm:spPr/>
    </dgm:pt>
    <dgm:pt modelId="{B94B60C4-EC7E-4E11-988D-49764F473BD5}" type="pres">
      <dgm:prSet presAssocID="{3C6146D0-E9B6-9A41-B4AF-A06D1EE76EFC}" presName="Parent" presStyleLbl="revTx" presStyleIdx="0" presStyleCnt="6">
        <dgm:presLayoutVars>
          <dgm:chMax val="1"/>
          <dgm:chPref val="1"/>
          <dgm:bulletEnabled val="1"/>
        </dgm:presLayoutVars>
      </dgm:prSet>
      <dgm:spPr/>
    </dgm:pt>
    <dgm:pt modelId="{C97712B5-5D5C-42E1-B1D7-8F55E162682B}" type="pres">
      <dgm:prSet presAssocID="{F12FBE22-AF90-4D30-99BD-D083B8F59809}" presName="ParentComposite" presStyleCnt="0"/>
      <dgm:spPr/>
    </dgm:pt>
    <dgm:pt modelId="{C9167526-6B19-488B-8BE4-319554726AFC}" type="pres">
      <dgm:prSet presAssocID="{F12FBE22-AF90-4D30-99BD-D083B8F59809}" presName="Chord" presStyleLbl="bgShp" presStyleIdx="1" presStyleCnt="6" custLinFactNeighborX="-13698" custLinFactNeighborY="-195"/>
      <dgm:spPr/>
    </dgm:pt>
    <dgm:pt modelId="{B4F69568-10A1-49A9-8371-A87B616F29B8}" type="pres">
      <dgm:prSet presAssocID="{F12FBE22-AF90-4D30-99BD-D083B8F59809}" presName="Pie" presStyleLbl="alignNode1" presStyleIdx="1" presStyleCnt="6" custLinFactNeighborX="-14488" custLinFactNeighborY="-5268"/>
      <dgm:spPr/>
    </dgm:pt>
    <dgm:pt modelId="{92234B3A-8C8C-4BAF-8CDB-066A669681C9}" type="pres">
      <dgm:prSet presAssocID="{F12FBE22-AF90-4D30-99BD-D083B8F59809}" presName="Parent" presStyleLbl="revTx" presStyleIdx="1" presStyleCnt="6" custLinFactNeighborX="-22829" custLinFactNeighborY="79">
        <dgm:presLayoutVars>
          <dgm:chMax val="1"/>
          <dgm:chPref val="1"/>
          <dgm:bulletEnabled val="1"/>
        </dgm:presLayoutVars>
      </dgm:prSet>
      <dgm:spPr/>
    </dgm:pt>
    <dgm:pt modelId="{9C9A09D1-B000-4FDE-BCB9-69FDED520120}" type="pres">
      <dgm:prSet presAssocID="{FD7C62AD-1AE5-4335-B983-82C23BC9C578}" presName="ParentComposite" presStyleCnt="0"/>
      <dgm:spPr/>
    </dgm:pt>
    <dgm:pt modelId="{E406EA9C-1F9A-44EF-BA68-4D320F144EC8}" type="pres">
      <dgm:prSet presAssocID="{FD7C62AD-1AE5-4335-B983-82C23BC9C578}" presName="Chord" presStyleLbl="bgShp" presStyleIdx="2" presStyleCnt="6"/>
      <dgm:spPr/>
    </dgm:pt>
    <dgm:pt modelId="{1F1F2F8E-E3C6-4BD9-809E-C98EA6E941DB}" type="pres">
      <dgm:prSet presAssocID="{FD7C62AD-1AE5-4335-B983-82C23BC9C578}" presName="Pie" presStyleLbl="alignNode1" presStyleIdx="2" presStyleCnt="6"/>
      <dgm:spPr/>
    </dgm:pt>
    <dgm:pt modelId="{140BE772-9263-4993-B0A1-C5CD2063202E}" type="pres">
      <dgm:prSet presAssocID="{FD7C62AD-1AE5-4335-B983-82C23BC9C578}" presName="Parent" presStyleLbl="revTx" presStyleIdx="2" presStyleCnt="6">
        <dgm:presLayoutVars>
          <dgm:chMax val="1"/>
          <dgm:chPref val="1"/>
          <dgm:bulletEnabled val="1"/>
        </dgm:presLayoutVars>
      </dgm:prSet>
      <dgm:spPr/>
    </dgm:pt>
    <dgm:pt modelId="{985EAFE9-AD2C-4157-95E7-693060B62E25}" type="pres">
      <dgm:prSet presAssocID="{55DADBFF-CCC6-4490-9C10-D76D5C5A8C38}" presName="ParentComposite" presStyleCnt="0"/>
      <dgm:spPr/>
    </dgm:pt>
    <dgm:pt modelId="{2DA8E171-E8E3-4F4E-8C11-33F6CF3779A2}" type="pres">
      <dgm:prSet presAssocID="{55DADBFF-CCC6-4490-9C10-D76D5C5A8C38}" presName="Chord" presStyleLbl="bgShp" presStyleIdx="3" presStyleCnt="6"/>
      <dgm:spPr/>
    </dgm:pt>
    <dgm:pt modelId="{F92FE616-C52E-446F-B6F6-AF85F40B2188}" type="pres">
      <dgm:prSet presAssocID="{55DADBFF-CCC6-4490-9C10-D76D5C5A8C38}" presName="Pie" presStyleLbl="alignNode1" presStyleIdx="3" presStyleCnt="6"/>
      <dgm:spPr/>
    </dgm:pt>
    <dgm:pt modelId="{19C1B8D8-323E-4695-A800-EEB5444FD968}" type="pres">
      <dgm:prSet presAssocID="{55DADBFF-CCC6-4490-9C10-D76D5C5A8C38}" presName="Parent" presStyleLbl="revTx" presStyleIdx="3" presStyleCnt="6">
        <dgm:presLayoutVars>
          <dgm:chMax val="1"/>
          <dgm:chPref val="1"/>
          <dgm:bulletEnabled val="1"/>
        </dgm:presLayoutVars>
      </dgm:prSet>
      <dgm:spPr/>
    </dgm:pt>
    <dgm:pt modelId="{AD1D4DFF-5713-4C3B-8570-6B1CA5A64599}" type="pres">
      <dgm:prSet presAssocID="{6C0418EF-8A43-4A30-A8C0-FB84FFB584F0}" presName="ParentComposite" presStyleCnt="0"/>
      <dgm:spPr/>
    </dgm:pt>
    <dgm:pt modelId="{BADF46B5-F4DC-4332-AEAE-AE61E43963E4}" type="pres">
      <dgm:prSet presAssocID="{6C0418EF-8A43-4A30-A8C0-FB84FFB584F0}" presName="Chord" presStyleLbl="bgShp" presStyleIdx="4" presStyleCnt="6"/>
      <dgm:spPr/>
    </dgm:pt>
    <dgm:pt modelId="{6043F3BA-DB20-4209-9943-6ED967F0BD32}" type="pres">
      <dgm:prSet presAssocID="{6C0418EF-8A43-4A30-A8C0-FB84FFB584F0}" presName="Pie" presStyleLbl="alignNode1" presStyleIdx="4" presStyleCnt="6"/>
      <dgm:spPr/>
    </dgm:pt>
    <dgm:pt modelId="{0226A5F1-448F-4517-9622-5B39025CE22B}" type="pres">
      <dgm:prSet presAssocID="{6C0418EF-8A43-4A30-A8C0-FB84FFB584F0}" presName="Parent" presStyleLbl="revTx" presStyleIdx="4" presStyleCnt="6">
        <dgm:presLayoutVars>
          <dgm:chMax val="1"/>
          <dgm:chPref val="1"/>
          <dgm:bulletEnabled val="1"/>
        </dgm:presLayoutVars>
      </dgm:prSet>
      <dgm:spPr/>
    </dgm:pt>
    <dgm:pt modelId="{05ABC0C1-3C1C-4F28-AB84-A62443FD61E0}" type="pres">
      <dgm:prSet presAssocID="{534D50E9-DA05-F048-908B-AC9518A8C0C3}" presName="ParentComposite" presStyleCnt="0"/>
      <dgm:spPr/>
    </dgm:pt>
    <dgm:pt modelId="{6E7BFFF6-EEF3-4DBC-8910-257B9BC40F67}" type="pres">
      <dgm:prSet presAssocID="{534D50E9-DA05-F048-908B-AC9518A8C0C3}" presName="Chord" presStyleLbl="bgShp" presStyleIdx="5" presStyleCnt="6"/>
      <dgm:spPr/>
    </dgm:pt>
    <dgm:pt modelId="{A9B3D463-96E2-4257-A5BD-34F78EF0BF21}" type="pres">
      <dgm:prSet presAssocID="{534D50E9-DA05-F048-908B-AC9518A8C0C3}" presName="Pie" presStyleLbl="alignNode1" presStyleIdx="5" presStyleCnt="6"/>
      <dgm:spPr/>
    </dgm:pt>
    <dgm:pt modelId="{629E16E5-2BDD-4AAD-A0FD-7C40A5D2A902}" type="pres">
      <dgm:prSet presAssocID="{534D50E9-DA05-F048-908B-AC9518A8C0C3}" presName="Parent" presStyleLbl="revTx" presStyleIdx="5" presStyleCnt="6">
        <dgm:presLayoutVars>
          <dgm:chMax val="1"/>
          <dgm:chPref val="1"/>
          <dgm:bulletEnabled val="1"/>
        </dgm:presLayoutVars>
      </dgm:prSet>
      <dgm:spPr/>
    </dgm:pt>
  </dgm:ptLst>
  <dgm:cxnLst>
    <dgm:cxn modelId="{D28B3F0E-1CCA-4CF4-B478-035C50117840}" type="presOf" srcId="{55DADBFF-CCC6-4490-9C10-D76D5C5A8C38}" destId="{19C1B8D8-323E-4695-A800-EEB5444FD968}" srcOrd="0" destOrd="0" presId="urn:microsoft.com/office/officeart/2009/3/layout/PieProcess"/>
    <dgm:cxn modelId="{9B927528-3FB4-064B-82DC-10D4DD60D9DF}" srcId="{5B607694-CACF-3E45-993E-4143896F7966}" destId="{3C6146D0-E9B6-9A41-B4AF-A06D1EE76EFC}" srcOrd="0" destOrd="0" parTransId="{8DC6ADF6-27AB-D145-BB96-B8824FE96143}" sibTransId="{744DEF81-CA79-B14E-BEFA-033AA6713779}"/>
    <dgm:cxn modelId="{3E14A733-359A-475D-AAF2-4DC436B4CB16}" srcId="{5B607694-CACF-3E45-993E-4143896F7966}" destId="{FD7C62AD-1AE5-4335-B983-82C23BC9C578}" srcOrd="2" destOrd="0" parTransId="{A72202AF-5EFD-4679-A57A-91889F2DC9FF}" sibTransId="{8BFE7458-2076-4124-BCE9-2D8E1B03DD17}"/>
    <dgm:cxn modelId="{9FA9685A-2606-4966-990B-3B2D84776B82}" srcId="{5B607694-CACF-3E45-993E-4143896F7966}" destId="{55DADBFF-CCC6-4490-9C10-D76D5C5A8C38}" srcOrd="3" destOrd="0" parTransId="{FEA14EF8-2A09-46AD-B3CB-0F25406DBAA3}" sibTransId="{35F0F379-B41C-40F7-9861-EFD2A074DAF2}"/>
    <dgm:cxn modelId="{DD847187-94B4-42BF-B0F4-AD0B862F1D52}" type="presOf" srcId="{534D50E9-DA05-F048-908B-AC9518A8C0C3}" destId="{629E16E5-2BDD-4AAD-A0FD-7C40A5D2A902}" srcOrd="0" destOrd="0" presId="urn:microsoft.com/office/officeart/2009/3/layout/PieProcess"/>
    <dgm:cxn modelId="{2771B399-A686-874E-8CDE-CCE728685F1B}" srcId="{5B607694-CACF-3E45-993E-4143896F7966}" destId="{534D50E9-DA05-F048-908B-AC9518A8C0C3}" srcOrd="5" destOrd="0" parTransId="{1C1D3191-D41E-8F44-B124-089C7D6C6F2F}" sibTransId="{9DEDDC2C-D2DB-7C43-826C-FBF526522D92}"/>
    <dgm:cxn modelId="{A51A6DAC-3341-4F56-A3AB-5BA08797B0FF}" type="presOf" srcId="{F12FBE22-AF90-4D30-99BD-D083B8F59809}" destId="{92234B3A-8C8C-4BAF-8CDB-066A669681C9}" srcOrd="0" destOrd="0" presId="urn:microsoft.com/office/officeart/2009/3/layout/PieProcess"/>
    <dgm:cxn modelId="{1B5665BC-999C-41DE-B4FB-F9E3ED3A8A3B}" srcId="{5B607694-CACF-3E45-993E-4143896F7966}" destId="{F12FBE22-AF90-4D30-99BD-D083B8F59809}" srcOrd="1" destOrd="0" parTransId="{4D9394F7-F932-47C7-966D-40F1627FA3E5}" sibTransId="{9284D5FA-67DC-487A-A3EE-F13B6866188F}"/>
    <dgm:cxn modelId="{E33840CB-5A7C-47E1-8E48-2FC2A45C8B1A}" type="presOf" srcId="{5B607694-CACF-3E45-993E-4143896F7966}" destId="{C3B4AC43-3437-4465-A614-58AB3CD7283B}" srcOrd="0" destOrd="0" presId="urn:microsoft.com/office/officeart/2009/3/layout/PieProcess"/>
    <dgm:cxn modelId="{252BF8D7-FACD-437E-9DB3-30DCE090022E}" type="presOf" srcId="{FD7C62AD-1AE5-4335-B983-82C23BC9C578}" destId="{140BE772-9263-4993-B0A1-C5CD2063202E}" srcOrd="0" destOrd="0" presId="urn:microsoft.com/office/officeart/2009/3/layout/PieProcess"/>
    <dgm:cxn modelId="{DBCD9CDE-4ADC-444E-B27D-1B2803685E34}" type="presOf" srcId="{6C0418EF-8A43-4A30-A8C0-FB84FFB584F0}" destId="{0226A5F1-448F-4517-9622-5B39025CE22B}" srcOrd="0" destOrd="0" presId="urn:microsoft.com/office/officeart/2009/3/layout/PieProcess"/>
    <dgm:cxn modelId="{F9A3CFF2-5CF8-4B35-8431-10C85413D756}" type="presOf" srcId="{3C6146D0-E9B6-9A41-B4AF-A06D1EE76EFC}" destId="{B94B60C4-EC7E-4E11-988D-49764F473BD5}" srcOrd="0" destOrd="0" presId="urn:microsoft.com/office/officeart/2009/3/layout/PieProcess"/>
    <dgm:cxn modelId="{A25618FA-81EC-4DD0-B55C-9B35C6705E9A}" srcId="{5B607694-CACF-3E45-993E-4143896F7966}" destId="{6C0418EF-8A43-4A30-A8C0-FB84FFB584F0}" srcOrd="4" destOrd="0" parTransId="{322CF121-89C7-4732-97C3-0489ADEA0E68}" sibTransId="{4CD5C417-4DEC-47BC-9873-EB6F8944B59E}"/>
    <dgm:cxn modelId="{DFF5C37F-E741-421F-A836-9F9595385190}" type="presParOf" srcId="{C3B4AC43-3437-4465-A614-58AB3CD7283B}" destId="{F73D3785-2259-42F6-A90B-D69B5DC4E496}" srcOrd="0" destOrd="0" presId="urn:microsoft.com/office/officeart/2009/3/layout/PieProcess"/>
    <dgm:cxn modelId="{688D66C2-AE7C-4774-9D6A-F8277666ACDD}" type="presParOf" srcId="{F73D3785-2259-42F6-A90B-D69B5DC4E496}" destId="{64DCDC69-7BD7-4132-9B43-DE1B2918B86E}" srcOrd="0" destOrd="0" presId="urn:microsoft.com/office/officeart/2009/3/layout/PieProcess"/>
    <dgm:cxn modelId="{E3F9C415-220E-405C-AE1C-3DFBE4444FF8}" type="presParOf" srcId="{F73D3785-2259-42F6-A90B-D69B5DC4E496}" destId="{EEC8D47D-35E1-4735-9152-B8D64834AB97}" srcOrd="1" destOrd="0" presId="urn:microsoft.com/office/officeart/2009/3/layout/PieProcess"/>
    <dgm:cxn modelId="{E4E38A8A-A065-4B5F-BDE7-DA9573AEA9EF}" type="presParOf" srcId="{F73D3785-2259-42F6-A90B-D69B5DC4E496}" destId="{B94B60C4-EC7E-4E11-988D-49764F473BD5}" srcOrd="2" destOrd="0" presId="urn:microsoft.com/office/officeart/2009/3/layout/PieProcess"/>
    <dgm:cxn modelId="{4A080267-D74B-4355-ABDC-F99AF7EA7F1D}" type="presParOf" srcId="{C3B4AC43-3437-4465-A614-58AB3CD7283B}" destId="{C97712B5-5D5C-42E1-B1D7-8F55E162682B}" srcOrd="1" destOrd="0" presId="urn:microsoft.com/office/officeart/2009/3/layout/PieProcess"/>
    <dgm:cxn modelId="{F7886B43-88E5-4EF4-B51E-B195194F7F2D}" type="presParOf" srcId="{C97712B5-5D5C-42E1-B1D7-8F55E162682B}" destId="{C9167526-6B19-488B-8BE4-319554726AFC}" srcOrd="0" destOrd="0" presId="urn:microsoft.com/office/officeart/2009/3/layout/PieProcess"/>
    <dgm:cxn modelId="{DF7B7A6A-6A96-48D2-B848-FA63458824C8}" type="presParOf" srcId="{C97712B5-5D5C-42E1-B1D7-8F55E162682B}" destId="{B4F69568-10A1-49A9-8371-A87B616F29B8}" srcOrd="1" destOrd="0" presId="urn:microsoft.com/office/officeart/2009/3/layout/PieProcess"/>
    <dgm:cxn modelId="{93CF5C88-DEC8-440A-9955-774D9B2EF6F8}" type="presParOf" srcId="{C97712B5-5D5C-42E1-B1D7-8F55E162682B}" destId="{92234B3A-8C8C-4BAF-8CDB-066A669681C9}" srcOrd="2" destOrd="0" presId="urn:microsoft.com/office/officeart/2009/3/layout/PieProcess"/>
    <dgm:cxn modelId="{16EEC45E-9487-4D24-9074-931856072E0A}" type="presParOf" srcId="{C3B4AC43-3437-4465-A614-58AB3CD7283B}" destId="{9C9A09D1-B000-4FDE-BCB9-69FDED520120}" srcOrd="2" destOrd="0" presId="urn:microsoft.com/office/officeart/2009/3/layout/PieProcess"/>
    <dgm:cxn modelId="{1AB5B3F5-A121-4854-A0A7-E82447D773B7}" type="presParOf" srcId="{9C9A09D1-B000-4FDE-BCB9-69FDED520120}" destId="{E406EA9C-1F9A-44EF-BA68-4D320F144EC8}" srcOrd="0" destOrd="0" presId="urn:microsoft.com/office/officeart/2009/3/layout/PieProcess"/>
    <dgm:cxn modelId="{8654C52D-F1ED-4885-841E-FEF311FBDBDD}" type="presParOf" srcId="{9C9A09D1-B000-4FDE-BCB9-69FDED520120}" destId="{1F1F2F8E-E3C6-4BD9-809E-C98EA6E941DB}" srcOrd="1" destOrd="0" presId="urn:microsoft.com/office/officeart/2009/3/layout/PieProcess"/>
    <dgm:cxn modelId="{F0A5ADA1-6489-42A6-8C79-5A6A416F94F8}" type="presParOf" srcId="{9C9A09D1-B000-4FDE-BCB9-69FDED520120}" destId="{140BE772-9263-4993-B0A1-C5CD2063202E}" srcOrd="2" destOrd="0" presId="urn:microsoft.com/office/officeart/2009/3/layout/PieProcess"/>
    <dgm:cxn modelId="{C131C6A5-64B9-4BC0-BBB1-1F95A685E065}" type="presParOf" srcId="{C3B4AC43-3437-4465-A614-58AB3CD7283B}" destId="{985EAFE9-AD2C-4157-95E7-693060B62E25}" srcOrd="3" destOrd="0" presId="urn:microsoft.com/office/officeart/2009/3/layout/PieProcess"/>
    <dgm:cxn modelId="{6F1029DD-D99C-4E26-852D-66699A43AF36}" type="presParOf" srcId="{985EAFE9-AD2C-4157-95E7-693060B62E25}" destId="{2DA8E171-E8E3-4F4E-8C11-33F6CF3779A2}" srcOrd="0" destOrd="0" presId="urn:microsoft.com/office/officeart/2009/3/layout/PieProcess"/>
    <dgm:cxn modelId="{F72F389F-B734-47DE-9E57-5E4321325EC5}" type="presParOf" srcId="{985EAFE9-AD2C-4157-95E7-693060B62E25}" destId="{F92FE616-C52E-446F-B6F6-AF85F40B2188}" srcOrd="1" destOrd="0" presId="urn:microsoft.com/office/officeart/2009/3/layout/PieProcess"/>
    <dgm:cxn modelId="{19BAAD4A-9784-4BBF-871D-C21286B8C621}" type="presParOf" srcId="{985EAFE9-AD2C-4157-95E7-693060B62E25}" destId="{19C1B8D8-323E-4695-A800-EEB5444FD968}" srcOrd="2" destOrd="0" presId="urn:microsoft.com/office/officeart/2009/3/layout/PieProcess"/>
    <dgm:cxn modelId="{A696F78D-EAE8-4830-A171-71A3CB223640}" type="presParOf" srcId="{C3B4AC43-3437-4465-A614-58AB3CD7283B}" destId="{AD1D4DFF-5713-4C3B-8570-6B1CA5A64599}" srcOrd="4" destOrd="0" presId="urn:microsoft.com/office/officeart/2009/3/layout/PieProcess"/>
    <dgm:cxn modelId="{A16A3B27-69AF-4974-9D09-23373D9E7ED4}" type="presParOf" srcId="{AD1D4DFF-5713-4C3B-8570-6B1CA5A64599}" destId="{BADF46B5-F4DC-4332-AEAE-AE61E43963E4}" srcOrd="0" destOrd="0" presId="urn:microsoft.com/office/officeart/2009/3/layout/PieProcess"/>
    <dgm:cxn modelId="{2F72D877-A584-4BF4-A6CF-1AAD58322BA4}" type="presParOf" srcId="{AD1D4DFF-5713-4C3B-8570-6B1CA5A64599}" destId="{6043F3BA-DB20-4209-9943-6ED967F0BD32}" srcOrd="1" destOrd="0" presId="urn:microsoft.com/office/officeart/2009/3/layout/PieProcess"/>
    <dgm:cxn modelId="{137E2794-858C-4FEB-B180-3B15BCEED5DA}" type="presParOf" srcId="{AD1D4DFF-5713-4C3B-8570-6B1CA5A64599}" destId="{0226A5F1-448F-4517-9622-5B39025CE22B}" srcOrd="2" destOrd="0" presId="urn:microsoft.com/office/officeart/2009/3/layout/PieProcess"/>
    <dgm:cxn modelId="{E2955695-AADA-4476-97CB-C1730DC97934}" type="presParOf" srcId="{C3B4AC43-3437-4465-A614-58AB3CD7283B}" destId="{05ABC0C1-3C1C-4F28-AB84-A62443FD61E0}" srcOrd="5" destOrd="0" presId="urn:microsoft.com/office/officeart/2009/3/layout/PieProcess"/>
    <dgm:cxn modelId="{2BCBAE4D-47B8-4F1B-B767-C47A2C119897}" type="presParOf" srcId="{05ABC0C1-3C1C-4F28-AB84-A62443FD61E0}" destId="{6E7BFFF6-EEF3-4DBC-8910-257B9BC40F67}" srcOrd="0" destOrd="0" presId="urn:microsoft.com/office/officeart/2009/3/layout/PieProcess"/>
    <dgm:cxn modelId="{BC7E5204-ED9C-4DE1-ACD6-EAE0518201D9}" type="presParOf" srcId="{05ABC0C1-3C1C-4F28-AB84-A62443FD61E0}" destId="{A9B3D463-96E2-4257-A5BD-34F78EF0BF21}" srcOrd="1" destOrd="0" presId="urn:microsoft.com/office/officeart/2009/3/layout/PieProcess"/>
    <dgm:cxn modelId="{D89C4A0D-0E30-40EB-9EFD-93F8F804E9EA}" type="presParOf" srcId="{05ABC0C1-3C1C-4F28-AB84-A62443FD61E0}" destId="{629E16E5-2BDD-4AAD-A0FD-7C40A5D2A902}" srcOrd="2" destOrd="0" presId="urn:microsoft.com/office/officeart/2009/3/layout/PieProces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9E46CC-A02D-AB4D-8A26-DB74C735CC0D}" type="doc">
      <dgm:prSet loTypeId="urn:microsoft.com/office/officeart/2005/8/layout/StepDownProcess" loCatId="" qsTypeId="urn:microsoft.com/office/officeart/2005/8/quickstyle/simple1" qsCatId="simple" csTypeId="urn:microsoft.com/office/officeart/2005/8/colors/colorful4" csCatId="colorful" phldr="1"/>
      <dgm:spPr/>
      <dgm:t>
        <a:bodyPr/>
        <a:lstStyle/>
        <a:p>
          <a:endParaRPr lang="es-ES"/>
        </a:p>
      </dgm:t>
    </dgm:pt>
    <dgm:pt modelId="{67AB5D88-51DE-A043-86CA-3299AADAC4F9}">
      <dgm:prSet phldrT="[Texto]"/>
      <dgm:spPr/>
      <dgm:t>
        <a:bodyPr/>
        <a:lstStyle/>
        <a:p>
          <a:r>
            <a:rPr lang="es-ES" b="0" cap="none" spc="0">
              <a:ln w="0"/>
              <a:solidFill>
                <a:schemeClr val="tx1"/>
              </a:solidFill>
              <a:effectLst>
                <a:outerShdw blurRad="50800" dist="38100" dir="2700000" algn="tl" rotWithShape="0">
                  <a:prstClr val="black">
                    <a:alpha val="40000"/>
                  </a:prstClr>
                </a:outerShdw>
              </a:effectLst>
              <a:latin typeface="+mn-lt"/>
            </a:rPr>
            <a:t>546 Búsqueda</a:t>
          </a:r>
        </a:p>
        <a:p>
          <a:r>
            <a:rPr lang="es-ES" b="0" cap="none" spc="0">
              <a:ln w="0"/>
              <a:solidFill>
                <a:schemeClr val="tx1"/>
              </a:solidFill>
              <a:effectLst>
                <a:outerShdw blurRad="50800" dist="38100" dir="2700000" algn="tl" rotWithShape="0">
                  <a:prstClr val="black">
                    <a:alpha val="40000"/>
                  </a:prstClr>
                </a:outerShdw>
              </a:effectLst>
              <a:latin typeface="+mn-lt"/>
            </a:rPr>
            <a:t>6 Literatura Gris</a:t>
          </a:r>
        </a:p>
      </dgm:t>
    </dgm:pt>
    <dgm:pt modelId="{5543C99F-FCF9-4D46-B95D-764ED24430A1}" type="parTrans" cxnId="{DECA1B44-1C7F-C94D-BB6E-E85671CC7CD1}">
      <dgm:prSet/>
      <dgm:spPr/>
      <dgm:t>
        <a:bodyPr/>
        <a:lstStyle/>
        <a:p>
          <a:endParaRPr lang="es-ES">
            <a:latin typeface="+mn-lt"/>
          </a:endParaRPr>
        </a:p>
      </dgm:t>
    </dgm:pt>
    <dgm:pt modelId="{BB4C0D62-0026-0646-90F6-AE73F06A1C0E}" type="sibTrans" cxnId="{DECA1B44-1C7F-C94D-BB6E-E85671CC7CD1}">
      <dgm:prSet/>
      <dgm:spPr/>
      <dgm:t>
        <a:bodyPr/>
        <a:lstStyle/>
        <a:p>
          <a:endParaRPr lang="es-ES">
            <a:latin typeface="+mn-lt"/>
          </a:endParaRPr>
        </a:p>
      </dgm:t>
    </dgm:pt>
    <dgm:pt modelId="{86608131-A64D-CD49-9B06-D10B138D1152}">
      <dgm:prSet phldrT="[Texto]"/>
      <dgm:spPr/>
      <dgm:t>
        <a:bodyPr/>
        <a:lstStyle/>
        <a:p>
          <a:r>
            <a:rPr lang="es-ES">
              <a:latin typeface="+mn-lt"/>
            </a:rPr>
            <a:t>IDENTIFICACIÓN</a:t>
          </a:r>
        </a:p>
      </dgm:t>
    </dgm:pt>
    <dgm:pt modelId="{31F8A7E4-09A7-1849-8B0F-57BB62C536E9}" type="parTrans" cxnId="{1C2AFAF5-BA52-1C4C-B619-F9BAC0CC9CCD}">
      <dgm:prSet/>
      <dgm:spPr/>
      <dgm:t>
        <a:bodyPr/>
        <a:lstStyle/>
        <a:p>
          <a:endParaRPr lang="es-ES">
            <a:latin typeface="+mn-lt"/>
          </a:endParaRPr>
        </a:p>
      </dgm:t>
    </dgm:pt>
    <dgm:pt modelId="{38EEFD63-5E5C-314A-AC75-EE6DF9A7C762}" type="sibTrans" cxnId="{1C2AFAF5-BA52-1C4C-B619-F9BAC0CC9CCD}">
      <dgm:prSet/>
      <dgm:spPr/>
      <dgm:t>
        <a:bodyPr/>
        <a:lstStyle/>
        <a:p>
          <a:endParaRPr lang="es-ES">
            <a:latin typeface="+mn-lt"/>
          </a:endParaRPr>
        </a:p>
      </dgm:t>
    </dgm:pt>
    <dgm:pt modelId="{50679EBB-E4B4-4447-898E-9299FA0545E8}">
      <dgm:prSet phldrT="[Texto]"/>
      <dgm:spPr/>
      <dgm:t>
        <a:bodyPr/>
        <a:lstStyle/>
        <a:p>
          <a:r>
            <a:rPr lang="es-ES" b="0" cap="none" spc="0">
              <a:ln w="0"/>
              <a:solidFill>
                <a:schemeClr val="tx1"/>
              </a:solidFill>
              <a:effectLst>
                <a:outerShdw blurRad="50800" dist="38100" dir="2700000" algn="tl" rotWithShape="0">
                  <a:prstClr val="black">
                    <a:alpha val="40000"/>
                  </a:prstClr>
                </a:outerShdw>
              </a:effectLst>
              <a:latin typeface="+mn-lt"/>
            </a:rPr>
            <a:t>357 Acceso texto</a:t>
          </a:r>
        </a:p>
      </dgm:t>
    </dgm:pt>
    <dgm:pt modelId="{A0457920-8CBF-D845-9702-48CC7F2E5322}" type="parTrans" cxnId="{B7FC04D7-8F5F-FC4C-9BE0-4E9F520F3884}">
      <dgm:prSet/>
      <dgm:spPr/>
      <dgm:t>
        <a:bodyPr/>
        <a:lstStyle/>
        <a:p>
          <a:endParaRPr lang="es-ES">
            <a:latin typeface="+mn-lt"/>
          </a:endParaRPr>
        </a:p>
      </dgm:t>
    </dgm:pt>
    <dgm:pt modelId="{344AB7F1-2753-8C42-8FC1-F74CE91AAC5C}" type="sibTrans" cxnId="{B7FC04D7-8F5F-FC4C-9BE0-4E9F520F3884}">
      <dgm:prSet/>
      <dgm:spPr/>
      <dgm:t>
        <a:bodyPr/>
        <a:lstStyle/>
        <a:p>
          <a:endParaRPr lang="es-ES">
            <a:latin typeface="+mn-lt"/>
          </a:endParaRPr>
        </a:p>
      </dgm:t>
    </dgm:pt>
    <dgm:pt modelId="{ABD4F80F-3316-C749-B200-F5147481F64A}">
      <dgm:prSet phldrT="[Texto]"/>
      <dgm:spPr/>
      <dgm:t>
        <a:bodyPr/>
        <a:lstStyle/>
        <a:p>
          <a:r>
            <a:rPr lang="es-ES">
              <a:latin typeface="+mn-lt"/>
            </a:rPr>
            <a:t>TAMIZAJE</a:t>
          </a:r>
        </a:p>
      </dgm:t>
    </dgm:pt>
    <dgm:pt modelId="{0845BE8C-017E-FA4B-925F-D9007DD4E7B6}" type="parTrans" cxnId="{D923202D-4ED4-4348-BD80-A2216B36FDB4}">
      <dgm:prSet/>
      <dgm:spPr/>
      <dgm:t>
        <a:bodyPr/>
        <a:lstStyle/>
        <a:p>
          <a:endParaRPr lang="es-ES">
            <a:latin typeface="+mn-lt"/>
          </a:endParaRPr>
        </a:p>
      </dgm:t>
    </dgm:pt>
    <dgm:pt modelId="{5117BB19-04C2-F348-9E5F-19D5131688A9}" type="sibTrans" cxnId="{D923202D-4ED4-4348-BD80-A2216B36FDB4}">
      <dgm:prSet/>
      <dgm:spPr/>
      <dgm:t>
        <a:bodyPr/>
        <a:lstStyle/>
        <a:p>
          <a:endParaRPr lang="es-ES">
            <a:latin typeface="+mn-lt"/>
          </a:endParaRPr>
        </a:p>
      </dgm:t>
    </dgm:pt>
    <dgm:pt modelId="{D00BCCE9-DC12-364F-89DC-B3A88577DE0D}">
      <dgm:prSet phldrT="[Texto]"/>
      <dgm:spPr/>
      <dgm:t>
        <a:bodyPr/>
        <a:lstStyle/>
        <a:p>
          <a:r>
            <a:rPr lang="es-ES" b="0" cap="none" spc="0">
              <a:ln w="0"/>
              <a:solidFill>
                <a:schemeClr val="tx1"/>
              </a:solidFill>
              <a:effectLst>
                <a:outerShdw blurRad="50800" dist="38100" dir="2700000" algn="tl" rotWithShape="0">
                  <a:prstClr val="black">
                    <a:alpha val="40000"/>
                  </a:prstClr>
                </a:outerShdw>
              </a:effectLst>
              <a:latin typeface="+mn-lt"/>
            </a:rPr>
            <a:t>65 Elegibles</a:t>
          </a:r>
        </a:p>
      </dgm:t>
    </dgm:pt>
    <dgm:pt modelId="{E8AC5F69-78A3-9B4D-AFBD-E91BD238C29C}" type="parTrans" cxnId="{DAAE77E3-FABD-AB43-9DB5-A3EFCB3A0290}">
      <dgm:prSet/>
      <dgm:spPr/>
      <dgm:t>
        <a:bodyPr/>
        <a:lstStyle/>
        <a:p>
          <a:endParaRPr lang="es-ES">
            <a:latin typeface="+mn-lt"/>
          </a:endParaRPr>
        </a:p>
      </dgm:t>
    </dgm:pt>
    <dgm:pt modelId="{3A10ADE5-D8F5-EC4A-A9DF-540A5996E76E}" type="sibTrans" cxnId="{DAAE77E3-FABD-AB43-9DB5-A3EFCB3A0290}">
      <dgm:prSet/>
      <dgm:spPr/>
      <dgm:t>
        <a:bodyPr/>
        <a:lstStyle/>
        <a:p>
          <a:endParaRPr lang="es-ES">
            <a:latin typeface="+mn-lt"/>
          </a:endParaRPr>
        </a:p>
      </dgm:t>
    </dgm:pt>
    <dgm:pt modelId="{A59C3EFC-C71D-F748-8E89-321D9B805BC7}">
      <dgm:prSet phldrT="[Texto]"/>
      <dgm:spPr/>
      <dgm:t>
        <a:bodyPr/>
        <a:lstStyle/>
        <a:p>
          <a:r>
            <a:rPr lang="es-ES">
              <a:latin typeface="+mn-lt"/>
            </a:rPr>
            <a:t>INCLUSIÓN</a:t>
          </a:r>
        </a:p>
      </dgm:t>
    </dgm:pt>
    <dgm:pt modelId="{FFB4331E-8247-D841-B12B-C287AA992DFC}" type="parTrans" cxnId="{AE30EF73-AD0F-B649-842E-E05F72BCD866}">
      <dgm:prSet/>
      <dgm:spPr/>
      <dgm:t>
        <a:bodyPr/>
        <a:lstStyle/>
        <a:p>
          <a:endParaRPr lang="es-ES">
            <a:latin typeface="+mn-lt"/>
          </a:endParaRPr>
        </a:p>
      </dgm:t>
    </dgm:pt>
    <dgm:pt modelId="{800E9449-2B11-9540-A405-3E2DAF1AA0B1}" type="sibTrans" cxnId="{AE30EF73-AD0F-B649-842E-E05F72BCD866}">
      <dgm:prSet/>
      <dgm:spPr/>
      <dgm:t>
        <a:bodyPr/>
        <a:lstStyle/>
        <a:p>
          <a:endParaRPr lang="es-ES">
            <a:latin typeface="+mn-lt"/>
          </a:endParaRPr>
        </a:p>
      </dgm:t>
    </dgm:pt>
    <dgm:pt modelId="{AFA45976-E613-2B4D-AD29-C379BAAB43F0}">
      <dgm:prSet phldrT="[Texto]"/>
      <dgm:spPr/>
      <dgm:t>
        <a:bodyPr/>
        <a:lstStyle/>
        <a:p>
          <a:r>
            <a:rPr lang="es-ES" b="0" cap="none" spc="0">
              <a:ln w="0"/>
              <a:solidFill>
                <a:schemeClr val="tx1"/>
              </a:solidFill>
              <a:effectLst>
                <a:outerShdw blurRad="50800" dist="38100" dir="2700000" algn="tl" rotWithShape="0">
                  <a:prstClr val="black">
                    <a:alpha val="40000"/>
                  </a:prstClr>
                </a:outerShdw>
              </a:effectLst>
              <a:latin typeface="+mn-lt"/>
            </a:rPr>
            <a:t>7 Analizados</a:t>
          </a:r>
        </a:p>
      </dgm:t>
    </dgm:pt>
    <dgm:pt modelId="{14243653-D3AA-1546-A1B9-D62506514D3F}" type="parTrans" cxnId="{6D31FF32-A3EC-7C40-B9A8-10861DDC3FF5}">
      <dgm:prSet/>
      <dgm:spPr/>
      <dgm:t>
        <a:bodyPr/>
        <a:lstStyle/>
        <a:p>
          <a:endParaRPr lang="es-ES">
            <a:latin typeface="+mn-lt"/>
          </a:endParaRPr>
        </a:p>
      </dgm:t>
    </dgm:pt>
    <dgm:pt modelId="{D6F1766A-7C4A-6C45-925A-66841BD977BC}" type="sibTrans" cxnId="{6D31FF32-A3EC-7C40-B9A8-10861DDC3FF5}">
      <dgm:prSet/>
      <dgm:spPr/>
      <dgm:t>
        <a:bodyPr/>
        <a:lstStyle/>
        <a:p>
          <a:endParaRPr lang="es-ES">
            <a:latin typeface="+mn-lt"/>
          </a:endParaRPr>
        </a:p>
      </dgm:t>
    </dgm:pt>
    <dgm:pt modelId="{7A9B78F1-E200-B445-B665-92EC34521795}">
      <dgm:prSet phldrT="[Texto]"/>
      <dgm:spPr/>
      <dgm:t>
        <a:bodyPr/>
        <a:lstStyle/>
        <a:p>
          <a:r>
            <a:rPr lang="es-ES">
              <a:latin typeface="+mn-lt"/>
            </a:rPr>
            <a:t>ELIGIBILIDAD</a:t>
          </a:r>
        </a:p>
      </dgm:t>
    </dgm:pt>
    <dgm:pt modelId="{94AA290E-4C21-D648-8A77-1A97F9910BB0}" type="parTrans" cxnId="{B6CE55A7-D832-324A-94D9-B11FE8CC2866}">
      <dgm:prSet/>
      <dgm:spPr/>
      <dgm:t>
        <a:bodyPr/>
        <a:lstStyle/>
        <a:p>
          <a:endParaRPr lang="es-ES">
            <a:latin typeface="+mn-lt"/>
          </a:endParaRPr>
        </a:p>
      </dgm:t>
    </dgm:pt>
    <dgm:pt modelId="{DEA84E2B-0DF3-4A4C-87C4-9426A39CFCBD}" type="sibTrans" cxnId="{B6CE55A7-D832-324A-94D9-B11FE8CC2866}">
      <dgm:prSet/>
      <dgm:spPr/>
      <dgm:t>
        <a:bodyPr/>
        <a:lstStyle/>
        <a:p>
          <a:endParaRPr lang="es-ES">
            <a:latin typeface="+mn-lt"/>
          </a:endParaRPr>
        </a:p>
      </dgm:t>
    </dgm:pt>
    <dgm:pt modelId="{09B20B0E-2EDC-8A4C-BA58-50B782000672}" type="pres">
      <dgm:prSet presAssocID="{CE9E46CC-A02D-AB4D-8A26-DB74C735CC0D}" presName="rootnode" presStyleCnt="0">
        <dgm:presLayoutVars>
          <dgm:chMax/>
          <dgm:chPref/>
          <dgm:dir/>
          <dgm:animLvl val="lvl"/>
        </dgm:presLayoutVars>
      </dgm:prSet>
      <dgm:spPr/>
    </dgm:pt>
    <dgm:pt modelId="{A44E8676-BA3F-F641-9DEE-79E0B2E5FD46}" type="pres">
      <dgm:prSet presAssocID="{67AB5D88-51DE-A043-86CA-3299AADAC4F9}" presName="composite" presStyleCnt="0"/>
      <dgm:spPr/>
    </dgm:pt>
    <dgm:pt modelId="{02BCA944-9B62-2542-8920-AADD464C5778}" type="pres">
      <dgm:prSet presAssocID="{67AB5D88-51DE-A043-86CA-3299AADAC4F9}" presName="bentUpArrow1" presStyleLbl="alignImgPlace1" presStyleIdx="0" presStyleCnt="3"/>
      <dgm:spPr/>
    </dgm:pt>
    <dgm:pt modelId="{43DA71EA-8D5D-EC43-BB84-98370078EFB1}" type="pres">
      <dgm:prSet presAssocID="{67AB5D88-51DE-A043-86CA-3299AADAC4F9}" presName="ParentText" presStyleLbl="node1" presStyleIdx="0" presStyleCnt="4">
        <dgm:presLayoutVars>
          <dgm:chMax val="1"/>
          <dgm:chPref val="1"/>
          <dgm:bulletEnabled val="1"/>
        </dgm:presLayoutVars>
      </dgm:prSet>
      <dgm:spPr/>
    </dgm:pt>
    <dgm:pt modelId="{CE20DEDB-820B-2341-92DD-86300E85D37D}" type="pres">
      <dgm:prSet presAssocID="{67AB5D88-51DE-A043-86CA-3299AADAC4F9}" presName="ChildText" presStyleLbl="revTx" presStyleIdx="0" presStyleCnt="4">
        <dgm:presLayoutVars>
          <dgm:chMax val="0"/>
          <dgm:chPref val="0"/>
          <dgm:bulletEnabled val="1"/>
        </dgm:presLayoutVars>
      </dgm:prSet>
      <dgm:spPr/>
    </dgm:pt>
    <dgm:pt modelId="{E48EFD8A-B7C9-D748-984F-FDAD1D83BBFA}" type="pres">
      <dgm:prSet presAssocID="{BB4C0D62-0026-0646-90F6-AE73F06A1C0E}" presName="sibTrans" presStyleCnt="0"/>
      <dgm:spPr/>
    </dgm:pt>
    <dgm:pt modelId="{3C78B71D-9BC7-C947-BDD2-6BED5CBC156E}" type="pres">
      <dgm:prSet presAssocID="{50679EBB-E4B4-4447-898E-9299FA0545E8}" presName="composite" presStyleCnt="0"/>
      <dgm:spPr/>
    </dgm:pt>
    <dgm:pt modelId="{51414FD2-4C32-F649-9665-EFDB0A11F8FD}" type="pres">
      <dgm:prSet presAssocID="{50679EBB-E4B4-4447-898E-9299FA0545E8}" presName="bentUpArrow1" presStyleLbl="alignImgPlace1" presStyleIdx="1" presStyleCnt="3"/>
      <dgm:spPr/>
    </dgm:pt>
    <dgm:pt modelId="{FE24915B-6071-7941-8BA2-FE1D3482C70F}" type="pres">
      <dgm:prSet presAssocID="{50679EBB-E4B4-4447-898E-9299FA0545E8}" presName="ParentText" presStyleLbl="node1" presStyleIdx="1" presStyleCnt="4">
        <dgm:presLayoutVars>
          <dgm:chMax val="1"/>
          <dgm:chPref val="1"/>
          <dgm:bulletEnabled val="1"/>
        </dgm:presLayoutVars>
      </dgm:prSet>
      <dgm:spPr/>
    </dgm:pt>
    <dgm:pt modelId="{98BF1F1A-A074-B44B-95B6-DF4E354DBC79}" type="pres">
      <dgm:prSet presAssocID="{50679EBB-E4B4-4447-898E-9299FA0545E8}" presName="ChildText" presStyleLbl="revTx" presStyleIdx="1" presStyleCnt="4">
        <dgm:presLayoutVars>
          <dgm:chMax val="0"/>
          <dgm:chPref val="0"/>
          <dgm:bulletEnabled val="1"/>
        </dgm:presLayoutVars>
      </dgm:prSet>
      <dgm:spPr/>
    </dgm:pt>
    <dgm:pt modelId="{4C34F985-B8A3-AB4B-9C01-11F95C729EFF}" type="pres">
      <dgm:prSet presAssocID="{344AB7F1-2753-8C42-8FC1-F74CE91AAC5C}" presName="sibTrans" presStyleCnt="0"/>
      <dgm:spPr/>
    </dgm:pt>
    <dgm:pt modelId="{314CBB9B-5D94-824B-A52F-4C50418E13FF}" type="pres">
      <dgm:prSet presAssocID="{D00BCCE9-DC12-364F-89DC-B3A88577DE0D}" presName="composite" presStyleCnt="0"/>
      <dgm:spPr/>
    </dgm:pt>
    <dgm:pt modelId="{790E41B5-0F2B-5B42-A07D-E6BDD3A51438}" type="pres">
      <dgm:prSet presAssocID="{D00BCCE9-DC12-364F-89DC-B3A88577DE0D}" presName="bentUpArrow1" presStyleLbl="alignImgPlace1" presStyleIdx="2" presStyleCnt="3"/>
      <dgm:spPr/>
    </dgm:pt>
    <dgm:pt modelId="{868F6743-C5F6-4042-9530-595B3E4B9605}" type="pres">
      <dgm:prSet presAssocID="{D00BCCE9-DC12-364F-89DC-B3A88577DE0D}" presName="ParentText" presStyleLbl="node1" presStyleIdx="2" presStyleCnt="4">
        <dgm:presLayoutVars>
          <dgm:chMax val="1"/>
          <dgm:chPref val="1"/>
          <dgm:bulletEnabled val="1"/>
        </dgm:presLayoutVars>
      </dgm:prSet>
      <dgm:spPr/>
    </dgm:pt>
    <dgm:pt modelId="{6C9D16B6-9DF3-B643-B8EC-F703A5AA7C86}" type="pres">
      <dgm:prSet presAssocID="{D00BCCE9-DC12-364F-89DC-B3A88577DE0D}" presName="ChildText" presStyleLbl="revTx" presStyleIdx="2" presStyleCnt="4">
        <dgm:presLayoutVars>
          <dgm:chMax val="0"/>
          <dgm:chPref val="0"/>
          <dgm:bulletEnabled val="1"/>
        </dgm:presLayoutVars>
      </dgm:prSet>
      <dgm:spPr/>
    </dgm:pt>
    <dgm:pt modelId="{6EF52EFD-CF18-0D45-AEB0-740F4F463993}" type="pres">
      <dgm:prSet presAssocID="{3A10ADE5-D8F5-EC4A-A9DF-540A5996E76E}" presName="sibTrans" presStyleCnt="0"/>
      <dgm:spPr/>
    </dgm:pt>
    <dgm:pt modelId="{D7E05B75-D32A-0845-A373-04666F42DD4D}" type="pres">
      <dgm:prSet presAssocID="{AFA45976-E613-2B4D-AD29-C379BAAB43F0}" presName="composite" presStyleCnt="0"/>
      <dgm:spPr/>
    </dgm:pt>
    <dgm:pt modelId="{F95FE0B7-10A6-764E-BC87-0C435A3C90B4}" type="pres">
      <dgm:prSet presAssocID="{AFA45976-E613-2B4D-AD29-C379BAAB43F0}" presName="ParentText" presStyleLbl="node1" presStyleIdx="3" presStyleCnt="4">
        <dgm:presLayoutVars>
          <dgm:chMax val="1"/>
          <dgm:chPref val="1"/>
          <dgm:bulletEnabled val="1"/>
        </dgm:presLayoutVars>
      </dgm:prSet>
      <dgm:spPr/>
    </dgm:pt>
    <dgm:pt modelId="{D9E1B88B-7586-D348-96C4-AC816A8A407A}" type="pres">
      <dgm:prSet presAssocID="{AFA45976-E613-2B4D-AD29-C379BAAB43F0}" presName="FinalChildText" presStyleLbl="revTx" presStyleIdx="3" presStyleCnt="4">
        <dgm:presLayoutVars>
          <dgm:chMax val="0"/>
          <dgm:chPref val="0"/>
          <dgm:bulletEnabled val="1"/>
        </dgm:presLayoutVars>
      </dgm:prSet>
      <dgm:spPr/>
    </dgm:pt>
  </dgm:ptLst>
  <dgm:cxnLst>
    <dgm:cxn modelId="{2C644F27-903E-9541-84BC-B1B4E8F574E7}" type="presOf" srcId="{50679EBB-E4B4-4447-898E-9299FA0545E8}" destId="{FE24915B-6071-7941-8BA2-FE1D3482C70F}" srcOrd="0" destOrd="0" presId="urn:microsoft.com/office/officeart/2005/8/layout/StepDownProcess"/>
    <dgm:cxn modelId="{D923202D-4ED4-4348-BD80-A2216B36FDB4}" srcId="{50679EBB-E4B4-4447-898E-9299FA0545E8}" destId="{ABD4F80F-3316-C749-B200-F5147481F64A}" srcOrd="0" destOrd="0" parTransId="{0845BE8C-017E-FA4B-925F-D9007DD4E7B6}" sibTransId="{5117BB19-04C2-F348-9E5F-19D5131688A9}"/>
    <dgm:cxn modelId="{9B8CD22F-C6FA-E345-9077-8EA1D748FE04}" type="presOf" srcId="{A59C3EFC-C71D-F748-8E89-321D9B805BC7}" destId="{D9E1B88B-7586-D348-96C4-AC816A8A407A}" srcOrd="0" destOrd="0" presId="urn:microsoft.com/office/officeart/2005/8/layout/StepDownProcess"/>
    <dgm:cxn modelId="{48055331-292F-4744-8B75-446C49F4DD4A}" type="presOf" srcId="{AFA45976-E613-2B4D-AD29-C379BAAB43F0}" destId="{F95FE0B7-10A6-764E-BC87-0C435A3C90B4}" srcOrd="0" destOrd="0" presId="urn:microsoft.com/office/officeart/2005/8/layout/StepDownProcess"/>
    <dgm:cxn modelId="{6D31FF32-A3EC-7C40-B9A8-10861DDC3FF5}" srcId="{CE9E46CC-A02D-AB4D-8A26-DB74C735CC0D}" destId="{AFA45976-E613-2B4D-AD29-C379BAAB43F0}" srcOrd="3" destOrd="0" parTransId="{14243653-D3AA-1546-A1B9-D62506514D3F}" sibTransId="{D6F1766A-7C4A-6C45-925A-66841BD977BC}"/>
    <dgm:cxn modelId="{5850DF5E-3735-5C45-B701-2A8F90E14D64}" type="presOf" srcId="{86608131-A64D-CD49-9B06-D10B138D1152}" destId="{CE20DEDB-820B-2341-92DD-86300E85D37D}" srcOrd="0" destOrd="0" presId="urn:microsoft.com/office/officeart/2005/8/layout/StepDownProcess"/>
    <dgm:cxn modelId="{DECA1B44-1C7F-C94D-BB6E-E85671CC7CD1}" srcId="{CE9E46CC-A02D-AB4D-8A26-DB74C735CC0D}" destId="{67AB5D88-51DE-A043-86CA-3299AADAC4F9}" srcOrd="0" destOrd="0" parTransId="{5543C99F-FCF9-4D46-B95D-764ED24430A1}" sibTransId="{BB4C0D62-0026-0646-90F6-AE73F06A1C0E}"/>
    <dgm:cxn modelId="{AE30EF73-AD0F-B649-842E-E05F72BCD866}" srcId="{AFA45976-E613-2B4D-AD29-C379BAAB43F0}" destId="{A59C3EFC-C71D-F748-8E89-321D9B805BC7}" srcOrd="0" destOrd="0" parTransId="{FFB4331E-8247-D841-B12B-C287AA992DFC}" sibTransId="{800E9449-2B11-9540-A405-3E2DAF1AA0B1}"/>
    <dgm:cxn modelId="{B248B578-7025-174B-B0B7-03BC91F19410}" type="presOf" srcId="{D00BCCE9-DC12-364F-89DC-B3A88577DE0D}" destId="{868F6743-C5F6-4042-9530-595B3E4B9605}" srcOrd="0" destOrd="0" presId="urn:microsoft.com/office/officeart/2005/8/layout/StepDownProcess"/>
    <dgm:cxn modelId="{B6CE55A7-D832-324A-94D9-B11FE8CC2866}" srcId="{D00BCCE9-DC12-364F-89DC-B3A88577DE0D}" destId="{7A9B78F1-E200-B445-B665-92EC34521795}" srcOrd="0" destOrd="0" parTransId="{94AA290E-4C21-D648-8A77-1A97F9910BB0}" sibTransId="{DEA84E2B-0DF3-4A4C-87C4-9426A39CFCBD}"/>
    <dgm:cxn modelId="{BB0A79BE-0260-8F45-B247-F40A3673EED0}" type="presOf" srcId="{67AB5D88-51DE-A043-86CA-3299AADAC4F9}" destId="{43DA71EA-8D5D-EC43-BB84-98370078EFB1}" srcOrd="0" destOrd="0" presId="urn:microsoft.com/office/officeart/2005/8/layout/StepDownProcess"/>
    <dgm:cxn modelId="{740152C8-B219-2145-8657-B061FE563F4A}" type="presOf" srcId="{ABD4F80F-3316-C749-B200-F5147481F64A}" destId="{98BF1F1A-A074-B44B-95B6-DF4E354DBC79}" srcOrd="0" destOrd="0" presId="urn:microsoft.com/office/officeart/2005/8/layout/StepDownProcess"/>
    <dgm:cxn modelId="{B7FC04D7-8F5F-FC4C-9BE0-4E9F520F3884}" srcId="{CE9E46CC-A02D-AB4D-8A26-DB74C735CC0D}" destId="{50679EBB-E4B4-4447-898E-9299FA0545E8}" srcOrd="1" destOrd="0" parTransId="{A0457920-8CBF-D845-9702-48CC7F2E5322}" sibTransId="{344AB7F1-2753-8C42-8FC1-F74CE91AAC5C}"/>
    <dgm:cxn modelId="{DAAE77E3-FABD-AB43-9DB5-A3EFCB3A0290}" srcId="{CE9E46CC-A02D-AB4D-8A26-DB74C735CC0D}" destId="{D00BCCE9-DC12-364F-89DC-B3A88577DE0D}" srcOrd="2" destOrd="0" parTransId="{E8AC5F69-78A3-9B4D-AFBD-E91BD238C29C}" sibTransId="{3A10ADE5-D8F5-EC4A-A9DF-540A5996E76E}"/>
    <dgm:cxn modelId="{3CE9E2E3-110B-A24F-AD4B-59BE77C6C9C0}" type="presOf" srcId="{7A9B78F1-E200-B445-B665-92EC34521795}" destId="{6C9D16B6-9DF3-B643-B8EC-F703A5AA7C86}" srcOrd="0" destOrd="0" presId="urn:microsoft.com/office/officeart/2005/8/layout/StepDownProcess"/>
    <dgm:cxn modelId="{B00BC7F0-F0FA-FC43-B12A-A2C97C4D935A}" type="presOf" srcId="{CE9E46CC-A02D-AB4D-8A26-DB74C735CC0D}" destId="{09B20B0E-2EDC-8A4C-BA58-50B782000672}" srcOrd="0" destOrd="0" presId="urn:microsoft.com/office/officeart/2005/8/layout/StepDownProcess"/>
    <dgm:cxn modelId="{1C2AFAF5-BA52-1C4C-B619-F9BAC0CC9CCD}" srcId="{67AB5D88-51DE-A043-86CA-3299AADAC4F9}" destId="{86608131-A64D-CD49-9B06-D10B138D1152}" srcOrd="0" destOrd="0" parTransId="{31F8A7E4-09A7-1849-8B0F-57BB62C536E9}" sibTransId="{38EEFD63-5E5C-314A-AC75-EE6DF9A7C762}"/>
    <dgm:cxn modelId="{C02E3982-29B6-F344-8B83-E4FA27BC27E0}" type="presParOf" srcId="{09B20B0E-2EDC-8A4C-BA58-50B782000672}" destId="{A44E8676-BA3F-F641-9DEE-79E0B2E5FD46}" srcOrd="0" destOrd="0" presId="urn:microsoft.com/office/officeart/2005/8/layout/StepDownProcess"/>
    <dgm:cxn modelId="{BC70963B-F0A0-4547-B212-B3D99FAB6357}" type="presParOf" srcId="{A44E8676-BA3F-F641-9DEE-79E0B2E5FD46}" destId="{02BCA944-9B62-2542-8920-AADD464C5778}" srcOrd="0" destOrd="0" presId="urn:microsoft.com/office/officeart/2005/8/layout/StepDownProcess"/>
    <dgm:cxn modelId="{CA7E8551-9C1C-BB42-B264-6CD473CB5D1C}" type="presParOf" srcId="{A44E8676-BA3F-F641-9DEE-79E0B2E5FD46}" destId="{43DA71EA-8D5D-EC43-BB84-98370078EFB1}" srcOrd="1" destOrd="0" presId="urn:microsoft.com/office/officeart/2005/8/layout/StepDownProcess"/>
    <dgm:cxn modelId="{0EB8ED5D-240C-4546-85EA-BD239D7A666C}" type="presParOf" srcId="{A44E8676-BA3F-F641-9DEE-79E0B2E5FD46}" destId="{CE20DEDB-820B-2341-92DD-86300E85D37D}" srcOrd="2" destOrd="0" presId="urn:microsoft.com/office/officeart/2005/8/layout/StepDownProcess"/>
    <dgm:cxn modelId="{6989377F-FCAF-B140-9ACE-B423E9E196C6}" type="presParOf" srcId="{09B20B0E-2EDC-8A4C-BA58-50B782000672}" destId="{E48EFD8A-B7C9-D748-984F-FDAD1D83BBFA}" srcOrd="1" destOrd="0" presId="urn:microsoft.com/office/officeart/2005/8/layout/StepDownProcess"/>
    <dgm:cxn modelId="{D8E556F9-E6EB-3D48-8466-2AB915EA70C3}" type="presParOf" srcId="{09B20B0E-2EDC-8A4C-BA58-50B782000672}" destId="{3C78B71D-9BC7-C947-BDD2-6BED5CBC156E}" srcOrd="2" destOrd="0" presId="urn:microsoft.com/office/officeart/2005/8/layout/StepDownProcess"/>
    <dgm:cxn modelId="{99CBFC2C-2BFB-4A47-A093-5C1DAFAA7F98}" type="presParOf" srcId="{3C78B71D-9BC7-C947-BDD2-6BED5CBC156E}" destId="{51414FD2-4C32-F649-9665-EFDB0A11F8FD}" srcOrd="0" destOrd="0" presId="urn:microsoft.com/office/officeart/2005/8/layout/StepDownProcess"/>
    <dgm:cxn modelId="{ABB2133E-A9CB-1F47-BD5B-68F945F386CC}" type="presParOf" srcId="{3C78B71D-9BC7-C947-BDD2-6BED5CBC156E}" destId="{FE24915B-6071-7941-8BA2-FE1D3482C70F}" srcOrd="1" destOrd="0" presId="urn:microsoft.com/office/officeart/2005/8/layout/StepDownProcess"/>
    <dgm:cxn modelId="{AFC51002-695E-F642-B2EF-679005F6E2EA}" type="presParOf" srcId="{3C78B71D-9BC7-C947-BDD2-6BED5CBC156E}" destId="{98BF1F1A-A074-B44B-95B6-DF4E354DBC79}" srcOrd="2" destOrd="0" presId="urn:microsoft.com/office/officeart/2005/8/layout/StepDownProcess"/>
    <dgm:cxn modelId="{80D0F8DC-7060-9C47-90B2-56A456740B9B}" type="presParOf" srcId="{09B20B0E-2EDC-8A4C-BA58-50B782000672}" destId="{4C34F985-B8A3-AB4B-9C01-11F95C729EFF}" srcOrd="3" destOrd="0" presId="urn:microsoft.com/office/officeart/2005/8/layout/StepDownProcess"/>
    <dgm:cxn modelId="{472FD503-D272-904F-A2A6-8CA65D0CD171}" type="presParOf" srcId="{09B20B0E-2EDC-8A4C-BA58-50B782000672}" destId="{314CBB9B-5D94-824B-A52F-4C50418E13FF}" srcOrd="4" destOrd="0" presId="urn:microsoft.com/office/officeart/2005/8/layout/StepDownProcess"/>
    <dgm:cxn modelId="{4E6B44BA-B463-1D4F-99DA-194BC3D65324}" type="presParOf" srcId="{314CBB9B-5D94-824B-A52F-4C50418E13FF}" destId="{790E41B5-0F2B-5B42-A07D-E6BDD3A51438}" srcOrd="0" destOrd="0" presId="urn:microsoft.com/office/officeart/2005/8/layout/StepDownProcess"/>
    <dgm:cxn modelId="{2ECFCAE1-8083-A643-84BF-032D8AE5DCF9}" type="presParOf" srcId="{314CBB9B-5D94-824B-A52F-4C50418E13FF}" destId="{868F6743-C5F6-4042-9530-595B3E4B9605}" srcOrd="1" destOrd="0" presId="urn:microsoft.com/office/officeart/2005/8/layout/StepDownProcess"/>
    <dgm:cxn modelId="{FE2BD774-28C7-D241-AC2A-C5CDB673B790}" type="presParOf" srcId="{314CBB9B-5D94-824B-A52F-4C50418E13FF}" destId="{6C9D16B6-9DF3-B643-B8EC-F703A5AA7C86}" srcOrd="2" destOrd="0" presId="urn:microsoft.com/office/officeart/2005/8/layout/StepDownProcess"/>
    <dgm:cxn modelId="{AEB308B5-A75E-3645-9A81-9943259ED291}" type="presParOf" srcId="{09B20B0E-2EDC-8A4C-BA58-50B782000672}" destId="{6EF52EFD-CF18-0D45-AEB0-740F4F463993}" srcOrd="5" destOrd="0" presId="urn:microsoft.com/office/officeart/2005/8/layout/StepDownProcess"/>
    <dgm:cxn modelId="{7D649BCC-D573-4649-BB89-ADF89B323489}" type="presParOf" srcId="{09B20B0E-2EDC-8A4C-BA58-50B782000672}" destId="{D7E05B75-D32A-0845-A373-04666F42DD4D}" srcOrd="6" destOrd="0" presId="urn:microsoft.com/office/officeart/2005/8/layout/StepDownProcess"/>
    <dgm:cxn modelId="{604D7A1E-E865-D043-A3A3-02A4E517FFF7}" type="presParOf" srcId="{D7E05B75-D32A-0845-A373-04666F42DD4D}" destId="{F95FE0B7-10A6-764E-BC87-0C435A3C90B4}" srcOrd="0" destOrd="0" presId="urn:microsoft.com/office/officeart/2005/8/layout/StepDownProcess"/>
    <dgm:cxn modelId="{A8756D66-9B6B-274A-8F81-0041CF6D276A}" type="presParOf" srcId="{D7E05B75-D32A-0845-A373-04666F42DD4D}" destId="{D9E1B88B-7586-D348-96C4-AC816A8A407A}" srcOrd="1" destOrd="0" presId="urn:microsoft.com/office/officeart/2005/8/layout/StepDown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71F4F-783D-4959-B842-926FF2F831D0}">
      <dsp:nvSpPr>
        <dsp:cNvPr id="0" name=""/>
        <dsp:cNvSpPr/>
      </dsp:nvSpPr>
      <dsp:spPr>
        <a:xfrm>
          <a:off x="3211138" y="20321"/>
          <a:ext cx="706885" cy="70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s-CO" sz="1000" b="1" kern="1200"/>
            <a:t>Formulación de pregunta </a:t>
          </a:r>
          <a:r>
            <a:rPr lang="es-CO" sz="900" b="1" kern="1200"/>
            <a:t>investigación</a:t>
          </a:r>
          <a:endParaRPr lang="es-CO" sz="1000" b="1" kern="1200"/>
        </a:p>
      </dsp:txBody>
      <dsp:txXfrm>
        <a:off x="3211138" y="20321"/>
        <a:ext cx="706885" cy="706885"/>
      </dsp:txXfrm>
    </dsp:sp>
    <dsp:sp modelId="{06B83F23-2896-4836-AAC0-D461A2E0F51D}">
      <dsp:nvSpPr>
        <dsp:cNvPr id="0" name=""/>
        <dsp:cNvSpPr/>
      </dsp:nvSpPr>
      <dsp:spPr>
        <a:xfrm>
          <a:off x="1545523" y="-461"/>
          <a:ext cx="2653798" cy="2653798"/>
        </a:xfrm>
        <a:prstGeom prst="circularArrow">
          <a:avLst>
            <a:gd name="adj1" fmla="val 5194"/>
            <a:gd name="adj2" fmla="val 335476"/>
            <a:gd name="adj3" fmla="val 21295021"/>
            <a:gd name="adj4" fmla="val 19764680"/>
            <a:gd name="adj5" fmla="val 606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6048216-03FD-4BF2-BC81-CC7E2B84326F}">
      <dsp:nvSpPr>
        <dsp:cNvPr id="0" name=""/>
        <dsp:cNvSpPr/>
      </dsp:nvSpPr>
      <dsp:spPr>
        <a:xfrm>
          <a:off x="3638915" y="1336884"/>
          <a:ext cx="706885" cy="70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s-CO" sz="900" b="1" kern="1200"/>
            <a:t>Identificación</a:t>
          </a:r>
          <a:r>
            <a:rPr lang="es-CO" sz="1000" b="1" kern="1200"/>
            <a:t> de estudios relevantes</a:t>
          </a:r>
        </a:p>
      </dsp:txBody>
      <dsp:txXfrm>
        <a:off x="3638915" y="1336884"/>
        <a:ext cx="706885" cy="706885"/>
      </dsp:txXfrm>
    </dsp:sp>
    <dsp:sp modelId="{8C347CF1-C53E-4F7E-BD12-0A80E1E9EE33}">
      <dsp:nvSpPr>
        <dsp:cNvPr id="0" name=""/>
        <dsp:cNvSpPr/>
      </dsp:nvSpPr>
      <dsp:spPr>
        <a:xfrm>
          <a:off x="1545523" y="-461"/>
          <a:ext cx="2653798" cy="2653798"/>
        </a:xfrm>
        <a:prstGeom prst="circularArrow">
          <a:avLst>
            <a:gd name="adj1" fmla="val 5194"/>
            <a:gd name="adj2" fmla="val 335476"/>
            <a:gd name="adj3" fmla="val 4016542"/>
            <a:gd name="adj4" fmla="val 2251739"/>
            <a:gd name="adj5" fmla="val 606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41F460-34A9-4E77-BA30-5522AE92987D}">
      <dsp:nvSpPr>
        <dsp:cNvPr id="0" name=""/>
        <dsp:cNvSpPr/>
      </dsp:nvSpPr>
      <dsp:spPr>
        <a:xfrm>
          <a:off x="2518979" y="2150565"/>
          <a:ext cx="706885" cy="70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1" kern="1200"/>
            <a:t>Selección de estudios</a:t>
          </a:r>
        </a:p>
      </dsp:txBody>
      <dsp:txXfrm>
        <a:off x="2518979" y="2150565"/>
        <a:ext cx="706885" cy="706885"/>
      </dsp:txXfrm>
    </dsp:sp>
    <dsp:sp modelId="{B2A039D8-E993-40B8-8EB1-CBF9668A37EA}">
      <dsp:nvSpPr>
        <dsp:cNvPr id="0" name=""/>
        <dsp:cNvSpPr/>
      </dsp:nvSpPr>
      <dsp:spPr>
        <a:xfrm>
          <a:off x="1545523" y="-461"/>
          <a:ext cx="2653798" cy="2653798"/>
        </a:xfrm>
        <a:prstGeom prst="circularArrow">
          <a:avLst>
            <a:gd name="adj1" fmla="val 5194"/>
            <a:gd name="adj2" fmla="val 335476"/>
            <a:gd name="adj3" fmla="val 8212784"/>
            <a:gd name="adj4" fmla="val 6447982"/>
            <a:gd name="adj5" fmla="val 606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BF303A-4EF6-4D9A-A663-66CAB76CD05E}">
      <dsp:nvSpPr>
        <dsp:cNvPr id="0" name=""/>
        <dsp:cNvSpPr/>
      </dsp:nvSpPr>
      <dsp:spPr>
        <a:xfrm>
          <a:off x="1399044" y="1336884"/>
          <a:ext cx="706885" cy="70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1" kern="1200"/>
            <a:t>Gráficos de los datos</a:t>
          </a:r>
        </a:p>
      </dsp:txBody>
      <dsp:txXfrm>
        <a:off x="1399044" y="1336884"/>
        <a:ext cx="706885" cy="706885"/>
      </dsp:txXfrm>
    </dsp:sp>
    <dsp:sp modelId="{40048E68-3FC4-4F8B-9760-C73E36ACE53A}">
      <dsp:nvSpPr>
        <dsp:cNvPr id="0" name=""/>
        <dsp:cNvSpPr/>
      </dsp:nvSpPr>
      <dsp:spPr>
        <a:xfrm>
          <a:off x="1545523" y="-461"/>
          <a:ext cx="2653798" cy="2653798"/>
        </a:xfrm>
        <a:prstGeom prst="circularArrow">
          <a:avLst>
            <a:gd name="adj1" fmla="val 5194"/>
            <a:gd name="adj2" fmla="val 335476"/>
            <a:gd name="adj3" fmla="val 12299844"/>
            <a:gd name="adj4" fmla="val 10769503"/>
            <a:gd name="adj5" fmla="val 606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3CA110-828A-4633-B7A6-D245333479C2}">
      <dsp:nvSpPr>
        <dsp:cNvPr id="0" name=""/>
        <dsp:cNvSpPr/>
      </dsp:nvSpPr>
      <dsp:spPr>
        <a:xfrm>
          <a:off x="1826821" y="20321"/>
          <a:ext cx="706885" cy="7068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r>
            <a:rPr lang="es-CO" sz="1050" b="1" kern="1200"/>
            <a:t>Cotejar, resumir y reportar los resultados</a:t>
          </a:r>
        </a:p>
      </dsp:txBody>
      <dsp:txXfrm>
        <a:off x="1826821" y="20321"/>
        <a:ext cx="706885" cy="706885"/>
      </dsp:txXfrm>
    </dsp:sp>
    <dsp:sp modelId="{AF1D06FD-5624-4102-A809-D0A80454F52A}">
      <dsp:nvSpPr>
        <dsp:cNvPr id="0" name=""/>
        <dsp:cNvSpPr/>
      </dsp:nvSpPr>
      <dsp:spPr>
        <a:xfrm>
          <a:off x="1545523" y="-461"/>
          <a:ext cx="2653798" cy="2653798"/>
        </a:xfrm>
        <a:prstGeom prst="circularArrow">
          <a:avLst>
            <a:gd name="adj1" fmla="val 5194"/>
            <a:gd name="adj2" fmla="val 335476"/>
            <a:gd name="adj3" fmla="val 16867525"/>
            <a:gd name="adj4" fmla="val 15196999"/>
            <a:gd name="adj5" fmla="val 606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DCDC69-7BD7-4132-9B43-DE1B2918B86E}">
      <dsp:nvSpPr>
        <dsp:cNvPr id="0" name=""/>
        <dsp:cNvSpPr/>
      </dsp:nvSpPr>
      <dsp:spPr>
        <a:xfrm>
          <a:off x="1144167" y="1296"/>
          <a:ext cx="662974" cy="662974"/>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EEC8D47D-35E1-4735-9152-B8D64834AB97}">
      <dsp:nvSpPr>
        <dsp:cNvPr id="0" name=""/>
        <dsp:cNvSpPr/>
      </dsp:nvSpPr>
      <dsp:spPr>
        <a:xfrm>
          <a:off x="1210464" y="67593"/>
          <a:ext cx="530379" cy="530379"/>
        </a:xfrm>
        <a:prstGeom prst="pie">
          <a:avLst>
            <a:gd name="adj1" fmla="val 14400000"/>
            <a:gd name="adj2" fmla="val 162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B94B60C4-EC7E-4E11-988D-49764F473BD5}">
      <dsp:nvSpPr>
        <dsp:cNvPr id="0" name=""/>
        <dsp:cNvSpPr/>
      </dsp:nvSpPr>
      <dsp:spPr>
        <a:xfrm rot="16200000">
          <a:off x="381747" y="1492988"/>
          <a:ext cx="1922625" cy="397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66725">
            <a:lnSpc>
              <a:spcPct val="90000"/>
            </a:lnSpc>
            <a:spcBef>
              <a:spcPct val="0"/>
            </a:spcBef>
            <a:spcAft>
              <a:spcPct val="35000"/>
            </a:spcAft>
            <a:buNone/>
          </a:pPr>
          <a:r>
            <a:rPr lang="es-CO" sz="1050" b="1" kern="1200"/>
            <a:t>Una pregunta claramente articulada</a:t>
          </a:r>
          <a:endParaRPr lang="es-ES" sz="1050" b="1" kern="1200"/>
        </a:p>
      </dsp:txBody>
      <dsp:txXfrm>
        <a:off x="381747" y="1492988"/>
        <a:ext cx="1922625" cy="397784"/>
      </dsp:txXfrm>
    </dsp:sp>
    <dsp:sp modelId="{C9167526-6B19-488B-8BE4-319554726AFC}">
      <dsp:nvSpPr>
        <dsp:cNvPr id="0" name=""/>
        <dsp:cNvSpPr/>
      </dsp:nvSpPr>
      <dsp:spPr>
        <a:xfrm>
          <a:off x="1716327" y="3"/>
          <a:ext cx="662974" cy="662974"/>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F69568-10A1-49A9-8371-A87B616F29B8}">
      <dsp:nvSpPr>
        <dsp:cNvPr id="0" name=""/>
        <dsp:cNvSpPr/>
      </dsp:nvSpPr>
      <dsp:spPr>
        <a:xfrm>
          <a:off x="1796597" y="39653"/>
          <a:ext cx="530379" cy="530379"/>
        </a:xfrm>
        <a:prstGeom prst="pie">
          <a:avLst>
            <a:gd name="adj1" fmla="val 12600000"/>
            <a:gd name="adj2" fmla="val 16200000"/>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92234B3A-8C8C-4BAF-8CDB-066A669681C9}">
      <dsp:nvSpPr>
        <dsp:cNvPr id="0" name=""/>
        <dsp:cNvSpPr/>
      </dsp:nvSpPr>
      <dsp:spPr>
        <a:xfrm rot="16200000">
          <a:off x="953911" y="1494284"/>
          <a:ext cx="1922625" cy="397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66725">
            <a:lnSpc>
              <a:spcPct val="90000"/>
            </a:lnSpc>
            <a:spcBef>
              <a:spcPct val="0"/>
            </a:spcBef>
            <a:spcAft>
              <a:spcPct val="35000"/>
            </a:spcAft>
            <a:buNone/>
          </a:pPr>
          <a:r>
            <a:rPr lang="es-CO" sz="1050" b="1" kern="1200"/>
            <a:t>Unos criterios de inclusión y exlusuión  detallados</a:t>
          </a:r>
        </a:p>
      </dsp:txBody>
      <dsp:txXfrm>
        <a:off x="953911" y="1494284"/>
        <a:ext cx="1922625" cy="397784"/>
      </dsp:txXfrm>
    </dsp:sp>
    <dsp:sp modelId="{E406EA9C-1F9A-44EF-BA68-4D320F144EC8}">
      <dsp:nvSpPr>
        <dsp:cNvPr id="0" name=""/>
        <dsp:cNvSpPr/>
      </dsp:nvSpPr>
      <dsp:spPr>
        <a:xfrm>
          <a:off x="2470115" y="1296"/>
          <a:ext cx="662974" cy="662974"/>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F1F2F8E-E3C6-4BD9-809E-C98EA6E941DB}">
      <dsp:nvSpPr>
        <dsp:cNvPr id="0" name=""/>
        <dsp:cNvSpPr/>
      </dsp:nvSpPr>
      <dsp:spPr>
        <a:xfrm>
          <a:off x="2536413" y="67593"/>
          <a:ext cx="530379" cy="530379"/>
        </a:xfrm>
        <a:prstGeom prst="pie">
          <a:avLst>
            <a:gd name="adj1" fmla="val 10800000"/>
            <a:gd name="adj2" fmla="val 16200000"/>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140BE772-9263-4993-B0A1-C5CD2063202E}">
      <dsp:nvSpPr>
        <dsp:cNvPr id="0" name=""/>
        <dsp:cNvSpPr/>
      </dsp:nvSpPr>
      <dsp:spPr>
        <a:xfrm rot="16200000">
          <a:off x="1707695" y="1492988"/>
          <a:ext cx="1922625" cy="397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66725">
            <a:lnSpc>
              <a:spcPct val="90000"/>
            </a:lnSpc>
            <a:spcBef>
              <a:spcPct val="0"/>
            </a:spcBef>
            <a:spcAft>
              <a:spcPct val="35000"/>
            </a:spcAft>
            <a:buNone/>
          </a:pPr>
          <a:r>
            <a:rPr lang="es-CO" sz="1050" b="1" kern="1200"/>
            <a:t>Un proceso de búsqueda para identificar las revisiones existentes pertinentes</a:t>
          </a:r>
        </a:p>
      </dsp:txBody>
      <dsp:txXfrm>
        <a:off x="1707695" y="1492988"/>
        <a:ext cx="1922625" cy="397784"/>
      </dsp:txXfrm>
    </dsp:sp>
    <dsp:sp modelId="{2DA8E171-E8E3-4F4E-8C11-33F6CF3779A2}">
      <dsp:nvSpPr>
        <dsp:cNvPr id="0" name=""/>
        <dsp:cNvSpPr/>
      </dsp:nvSpPr>
      <dsp:spPr>
        <a:xfrm>
          <a:off x="3133089" y="1296"/>
          <a:ext cx="662974" cy="662974"/>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92FE616-C52E-446F-B6F6-AF85F40B2188}">
      <dsp:nvSpPr>
        <dsp:cNvPr id="0" name=""/>
        <dsp:cNvSpPr/>
      </dsp:nvSpPr>
      <dsp:spPr>
        <a:xfrm>
          <a:off x="3199387" y="67593"/>
          <a:ext cx="530379" cy="530379"/>
        </a:xfrm>
        <a:prstGeom prst="pie">
          <a:avLst>
            <a:gd name="adj1" fmla="val 9000000"/>
            <a:gd name="adj2" fmla="val 1620000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19C1B8D8-323E-4695-A800-EEB5444FD968}">
      <dsp:nvSpPr>
        <dsp:cNvPr id="0" name=""/>
        <dsp:cNvSpPr/>
      </dsp:nvSpPr>
      <dsp:spPr>
        <a:xfrm rot="16200000">
          <a:off x="2370669" y="1492988"/>
          <a:ext cx="1922625" cy="397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66725">
            <a:lnSpc>
              <a:spcPct val="90000"/>
            </a:lnSpc>
            <a:spcBef>
              <a:spcPct val="0"/>
            </a:spcBef>
            <a:spcAft>
              <a:spcPct val="35000"/>
            </a:spcAft>
            <a:buNone/>
          </a:pPr>
          <a:r>
            <a:rPr lang="es-CO" sz="1050" b="1" u="none" kern="1200"/>
            <a:t>U</a:t>
          </a:r>
          <a:r>
            <a:rPr lang="es-CO" sz="1050" b="1" kern="1200"/>
            <a:t>n método de evaluación crítica de las revisiones incluidas </a:t>
          </a:r>
        </a:p>
      </dsp:txBody>
      <dsp:txXfrm>
        <a:off x="2370669" y="1492988"/>
        <a:ext cx="1922625" cy="397784"/>
      </dsp:txXfrm>
    </dsp:sp>
    <dsp:sp modelId="{BADF46B5-F4DC-4332-AEAE-AE61E43963E4}">
      <dsp:nvSpPr>
        <dsp:cNvPr id="0" name=""/>
        <dsp:cNvSpPr/>
      </dsp:nvSpPr>
      <dsp:spPr>
        <a:xfrm>
          <a:off x="3796064" y="1296"/>
          <a:ext cx="662974" cy="662974"/>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043F3BA-DB20-4209-9943-6ED967F0BD32}">
      <dsp:nvSpPr>
        <dsp:cNvPr id="0" name=""/>
        <dsp:cNvSpPr/>
      </dsp:nvSpPr>
      <dsp:spPr>
        <a:xfrm>
          <a:off x="3862361" y="67593"/>
          <a:ext cx="530379" cy="530379"/>
        </a:xfrm>
        <a:prstGeom prst="pie">
          <a:avLst>
            <a:gd name="adj1" fmla="val 7200000"/>
            <a:gd name="adj2" fmla="val 16200000"/>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0226A5F1-448F-4517-9622-5B39025CE22B}">
      <dsp:nvSpPr>
        <dsp:cNvPr id="0" name=""/>
        <dsp:cNvSpPr/>
      </dsp:nvSpPr>
      <dsp:spPr>
        <a:xfrm rot="16200000">
          <a:off x="3033643" y="1492988"/>
          <a:ext cx="1922625" cy="397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66725">
            <a:lnSpc>
              <a:spcPct val="90000"/>
            </a:lnSpc>
            <a:spcBef>
              <a:spcPct val="0"/>
            </a:spcBef>
            <a:spcAft>
              <a:spcPct val="35000"/>
            </a:spcAft>
            <a:buNone/>
          </a:pPr>
          <a:r>
            <a:rPr lang="es-CO" sz="1050" b="1" kern="1200"/>
            <a:t>Un proceso formal de extracción de datos </a:t>
          </a:r>
        </a:p>
      </dsp:txBody>
      <dsp:txXfrm>
        <a:off x="3033643" y="1492988"/>
        <a:ext cx="1922625" cy="397784"/>
      </dsp:txXfrm>
    </dsp:sp>
    <dsp:sp modelId="{6E7BFFF6-EEF3-4DBC-8910-257B9BC40F67}">
      <dsp:nvSpPr>
        <dsp:cNvPr id="0" name=""/>
        <dsp:cNvSpPr/>
      </dsp:nvSpPr>
      <dsp:spPr>
        <a:xfrm>
          <a:off x="4459038" y="1296"/>
          <a:ext cx="662974" cy="662974"/>
        </a:xfrm>
        <a:prstGeom prst="chord">
          <a:avLst>
            <a:gd name="adj1" fmla="val 4800000"/>
            <a:gd name="adj2" fmla="val 1680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9B3D463-96E2-4257-A5BD-34F78EF0BF21}">
      <dsp:nvSpPr>
        <dsp:cNvPr id="0" name=""/>
        <dsp:cNvSpPr/>
      </dsp:nvSpPr>
      <dsp:spPr>
        <a:xfrm>
          <a:off x="4525335" y="67593"/>
          <a:ext cx="530379" cy="530379"/>
        </a:xfrm>
        <a:prstGeom prst="pie">
          <a:avLst>
            <a:gd name="adj1" fmla="val 5400000"/>
            <a:gd name="adj2" fmla="val 16200000"/>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sp>
    <dsp:sp modelId="{629E16E5-2BDD-4AAD-A0FD-7C40A5D2A902}">
      <dsp:nvSpPr>
        <dsp:cNvPr id="0" name=""/>
        <dsp:cNvSpPr/>
      </dsp:nvSpPr>
      <dsp:spPr>
        <a:xfrm rot="16200000">
          <a:off x="3696618" y="1492988"/>
          <a:ext cx="1922625" cy="3977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marL="0" lvl="0" indent="0" algn="r" defTabSz="466725">
            <a:lnSpc>
              <a:spcPct val="90000"/>
            </a:lnSpc>
            <a:spcBef>
              <a:spcPct val="0"/>
            </a:spcBef>
            <a:spcAft>
              <a:spcPct val="35000"/>
            </a:spcAft>
            <a:buNone/>
          </a:pPr>
          <a:r>
            <a:rPr lang="es-CO" sz="1050" b="1" kern="1200"/>
            <a:t>Medios para resumir y presentar las síntesis y análisis</a:t>
          </a:r>
          <a:endParaRPr lang="es-ES" sz="1050" b="1" kern="1200"/>
        </a:p>
      </dsp:txBody>
      <dsp:txXfrm>
        <a:off x="3696618" y="1492988"/>
        <a:ext cx="1922625" cy="3977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BCA944-9B62-2542-8920-AADD464C5778}">
      <dsp:nvSpPr>
        <dsp:cNvPr id="0" name=""/>
        <dsp:cNvSpPr/>
      </dsp:nvSpPr>
      <dsp:spPr>
        <a:xfrm rot="5400000">
          <a:off x="856147" y="699515"/>
          <a:ext cx="614326" cy="699389"/>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DA71EA-8D5D-EC43-BB84-98370078EFB1}">
      <dsp:nvSpPr>
        <dsp:cNvPr id="0" name=""/>
        <dsp:cNvSpPr/>
      </dsp:nvSpPr>
      <dsp:spPr>
        <a:xfrm>
          <a:off x="693388" y="18522"/>
          <a:ext cx="1034164" cy="723881"/>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b="0" kern="1200" cap="none" spc="0">
              <a:ln w="0"/>
              <a:solidFill>
                <a:schemeClr val="tx1"/>
              </a:solidFill>
              <a:effectLst>
                <a:outerShdw blurRad="50800" dist="38100" dir="2700000" algn="tl" rotWithShape="0">
                  <a:prstClr val="black">
                    <a:alpha val="40000"/>
                  </a:prstClr>
                </a:outerShdw>
              </a:effectLst>
              <a:latin typeface="+mn-lt"/>
            </a:rPr>
            <a:t>546 Búsqueda</a:t>
          </a:r>
        </a:p>
        <a:p>
          <a:pPr marL="0" lvl="0" indent="0" algn="ctr" defTabSz="488950">
            <a:lnSpc>
              <a:spcPct val="90000"/>
            </a:lnSpc>
            <a:spcBef>
              <a:spcPct val="0"/>
            </a:spcBef>
            <a:spcAft>
              <a:spcPct val="35000"/>
            </a:spcAft>
            <a:buNone/>
          </a:pPr>
          <a:r>
            <a:rPr lang="es-ES" sz="1100" b="0" kern="1200" cap="none" spc="0">
              <a:ln w="0"/>
              <a:solidFill>
                <a:schemeClr val="tx1"/>
              </a:solidFill>
              <a:effectLst>
                <a:outerShdw blurRad="50800" dist="38100" dir="2700000" algn="tl" rotWithShape="0">
                  <a:prstClr val="black">
                    <a:alpha val="40000"/>
                  </a:prstClr>
                </a:outerShdw>
              </a:effectLst>
              <a:latin typeface="+mn-lt"/>
            </a:rPr>
            <a:t>6 Literatura Gris</a:t>
          </a:r>
        </a:p>
      </dsp:txBody>
      <dsp:txXfrm>
        <a:off x="728731" y="53865"/>
        <a:ext cx="963478" cy="653195"/>
      </dsp:txXfrm>
    </dsp:sp>
    <dsp:sp modelId="{CE20DEDB-820B-2341-92DD-86300E85D37D}">
      <dsp:nvSpPr>
        <dsp:cNvPr id="0" name=""/>
        <dsp:cNvSpPr/>
      </dsp:nvSpPr>
      <dsp:spPr>
        <a:xfrm>
          <a:off x="1727553" y="87560"/>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ES" sz="700" kern="1200">
              <a:latin typeface="+mn-lt"/>
            </a:rPr>
            <a:t>IDENTIFICACIÓN</a:t>
          </a:r>
        </a:p>
      </dsp:txBody>
      <dsp:txXfrm>
        <a:off x="1727553" y="87560"/>
        <a:ext cx="752152" cy="585073"/>
      </dsp:txXfrm>
    </dsp:sp>
    <dsp:sp modelId="{51414FD2-4C32-F649-9665-EFDB0A11F8FD}">
      <dsp:nvSpPr>
        <dsp:cNvPr id="0" name=""/>
        <dsp:cNvSpPr/>
      </dsp:nvSpPr>
      <dsp:spPr>
        <a:xfrm rot="5400000">
          <a:off x="1713580" y="1512673"/>
          <a:ext cx="614326" cy="699389"/>
        </a:xfrm>
        <a:prstGeom prst="bentUpArrow">
          <a:avLst>
            <a:gd name="adj1" fmla="val 32840"/>
            <a:gd name="adj2" fmla="val 25000"/>
            <a:gd name="adj3" fmla="val 35780"/>
          </a:avLst>
        </a:prstGeom>
        <a:solidFill>
          <a:schemeClr val="accent4">
            <a:tint val="50000"/>
            <a:hueOff val="5430266"/>
            <a:satOff val="-26493"/>
            <a:lumOff val="3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24915B-6071-7941-8BA2-FE1D3482C70F}">
      <dsp:nvSpPr>
        <dsp:cNvPr id="0" name=""/>
        <dsp:cNvSpPr/>
      </dsp:nvSpPr>
      <dsp:spPr>
        <a:xfrm>
          <a:off x="1550821" y="831680"/>
          <a:ext cx="1034164" cy="723881"/>
        </a:xfrm>
        <a:prstGeom prst="roundRect">
          <a:avLst>
            <a:gd name="adj" fmla="val 16670"/>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b="0" kern="1200" cap="none" spc="0">
              <a:ln w="0"/>
              <a:solidFill>
                <a:schemeClr val="tx1"/>
              </a:solidFill>
              <a:effectLst>
                <a:outerShdw blurRad="50800" dist="38100" dir="2700000" algn="tl" rotWithShape="0">
                  <a:prstClr val="black">
                    <a:alpha val="40000"/>
                  </a:prstClr>
                </a:outerShdw>
              </a:effectLst>
              <a:latin typeface="+mn-lt"/>
            </a:rPr>
            <a:t>357 Acceso texto</a:t>
          </a:r>
        </a:p>
      </dsp:txBody>
      <dsp:txXfrm>
        <a:off x="1586164" y="867023"/>
        <a:ext cx="963478" cy="653195"/>
      </dsp:txXfrm>
    </dsp:sp>
    <dsp:sp modelId="{98BF1F1A-A074-B44B-95B6-DF4E354DBC79}">
      <dsp:nvSpPr>
        <dsp:cNvPr id="0" name=""/>
        <dsp:cNvSpPr/>
      </dsp:nvSpPr>
      <dsp:spPr>
        <a:xfrm>
          <a:off x="2584985" y="900718"/>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ES" sz="700" kern="1200">
              <a:latin typeface="+mn-lt"/>
            </a:rPr>
            <a:t>TAMIZAJE</a:t>
          </a:r>
        </a:p>
      </dsp:txBody>
      <dsp:txXfrm>
        <a:off x="2584985" y="900718"/>
        <a:ext cx="752152" cy="585073"/>
      </dsp:txXfrm>
    </dsp:sp>
    <dsp:sp modelId="{790E41B5-0F2B-5B42-A07D-E6BDD3A51438}">
      <dsp:nvSpPr>
        <dsp:cNvPr id="0" name=""/>
        <dsp:cNvSpPr/>
      </dsp:nvSpPr>
      <dsp:spPr>
        <a:xfrm rot="5400000">
          <a:off x="2571012" y="2325831"/>
          <a:ext cx="614326" cy="699389"/>
        </a:xfrm>
        <a:prstGeom prst="bentUpArrow">
          <a:avLst>
            <a:gd name="adj1" fmla="val 32840"/>
            <a:gd name="adj2" fmla="val 25000"/>
            <a:gd name="adj3" fmla="val 35780"/>
          </a:avLst>
        </a:prstGeom>
        <a:solidFill>
          <a:schemeClr val="accent4">
            <a:tint val="50000"/>
            <a:hueOff val="10860531"/>
            <a:satOff val="-52986"/>
            <a:lumOff val="75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68F6743-C5F6-4042-9530-595B3E4B9605}">
      <dsp:nvSpPr>
        <dsp:cNvPr id="0" name=""/>
        <dsp:cNvSpPr/>
      </dsp:nvSpPr>
      <dsp:spPr>
        <a:xfrm>
          <a:off x="2408253" y="1644838"/>
          <a:ext cx="1034164" cy="723881"/>
        </a:xfrm>
        <a:prstGeom prst="roundRect">
          <a:avLst>
            <a:gd name="adj" fmla="val 16670"/>
          </a:avLst>
        </a:prstGeom>
        <a:solidFill>
          <a:schemeClr val="accent4">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b="0" kern="1200" cap="none" spc="0">
              <a:ln w="0"/>
              <a:solidFill>
                <a:schemeClr val="tx1"/>
              </a:solidFill>
              <a:effectLst>
                <a:outerShdw blurRad="50800" dist="38100" dir="2700000" algn="tl" rotWithShape="0">
                  <a:prstClr val="black">
                    <a:alpha val="40000"/>
                  </a:prstClr>
                </a:outerShdw>
              </a:effectLst>
              <a:latin typeface="+mn-lt"/>
            </a:rPr>
            <a:t>65 Elegibles</a:t>
          </a:r>
        </a:p>
      </dsp:txBody>
      <dsp:txXfrm>
        <a:off x="2443596" y="1680181"/>
        <a:ext cx="963478" cy="653195"/>
      </dsp:txXfrm>
    </dsp:sp>
    <dsp:sp modelId="{6C9D16B6-9DF3-B643-B8EC-F703A5AA7C86}">
      <dsp:nvSpPr>
        <dsp:cNvPr id="0" name=""/>
        <dsp:cNvSpPr/>
      </dsp:nvSpPr>
      <dsp:spPr>
        <a:xfrm>
          <a:off x="3442418" y="1713876"/>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ctr" anchorCtr="0">
          <a:noAutofit/>
        </a:bodyPr>
        <a:lstStyle/>
        <a:p>
          <a:pPr marL="57150" lvl="1" indent="-57150" algn="l" defTabSz="311150">
            <a:lnSpc>
              <a:spcPct val="90000"/>
            </a:lnSpc>
            <a:spcBef>
              <a:spcPct val="0"/>
            </a:spcBef>
            <a:spcAft>
              <a:spcPct val="15000"/>
            </a:spcAft>
            <a:buChar char="•"/>
          </a:pPr>
          <a:r>
            <a:rPr lang="es-ES" sz="700" kern="1200">
              <a:latin typeface="+mn-lt"/>
            </a:rPr>
            <a:t>ELIGIBILIDAD</a:t>
          </a:r>
        </a:p>
      </dsp:txBody>
      <dsp:txXfrm>
        <a:off x="3442418" y="1713876"/>
        <a:ext cx="752152" cy="585073"/>
      </dsp:txXfrm>
    </dsp:sp>
    <dsp:sp modelId="{F95FE0B7-10A6-764E-BC87-0C435A3C90B4}">
      <dsp:nvSpPr>
        <dsp:cNvPr id="0" name=""/>
        <dsp:cNvSpPr/>
      </dsp:nvSpPr>
      <dsp:spPr>
        <a:xfrm>
          <a:off x="3265685" y="2457996"/>
          <a:ext cx="1034164" cy="723881"/>
        </a:xfrm>
        <a:prstGeom prst="roundRect">
          <a:avLst>
            <a:gd name="adj" fmla="val 1667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ES" sz="1100" b="0" kern="1200" cap="none" spc="0">
              <a:ln w="0"/>
              <a:solidFill>
                <a:schemeClr val="tx1"/>
              </a:solidFill>
              <a:effectLst>
                <a:outerShdw blurRad="50800" dist="38100" dir="2700000" algn="tl" rotWithShape="0">
                  <a:prstClr val="black">
                    <a:alpha val="40000"/>
                  </a:prstClr>
                </a:outerShdw>
              </a:effectLst>
              <a:latin typeface="+mn-lt"/>
            </a:rPr>
            <a:t>7 Analizados</a:t>
          </a:r>
        </a:p>
      </dsp:txBody>
      <dsp:txXfrm>
        <a:off x="3301028" y="2493339"/>
        <a:ext cx="963478" cy="653195"/>
      </dsp:txXfrm>
    </dsp:sp>
    <dsp:sp modelId="{D9E1B88B-7586-D348-96C4-AC816A8A407A}">
      <dsp:nvSpPr>
        <dsp:cNvPr id="0" name=""/>
        <dsp:cNvSpPr/>
      </dsp:nvSpPr>
      <dsp:spPr>
        <a:xfrm>
          <a:off x="4299850" y="2527034"/>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9530" tIns="49530" rIns="49530" bIns="49530" numCol="1" spcCol="1270" anchor="ctr" anchorCtr="0">
          <a:noAutofit/>
        </a:bodyPr>
        <a:lstStyle/>
        <a:p>
          <a:pPr marL="57150" lvl="1" indent="-57150" algn="l" defTabSz="444500">
            <a:lnSpc>
              <a:spcPct val="90000"/>
            </a:lnSpc>
            <a:spcBef>
              <a:spcPct val="0"/>
            </a:spcBef>
            <a:spcAft>
              <a:spcPct val="15000"/>
            </a:spcAft>
            <a:buChar char="•"/>
          </a:pPr>
          <a:r>
            <a:rPr lang="es-ES" sz="1000" kern="1200">
              <a:latin typeface="+mn-lt"/>
            </a:rPr>
            <a:t>INCLUSIÓN</a:t>
          </a:r>
        </a:p>
      </dsp:txBody>
      <dsp:txXfrm>
        <a:off x="4299850" y="2527034"/>
        <a:ext cx="752152" cy="585073"/>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PieProcess">
  <dgm:title val=""/>
  <dgm:desc val=""/>
  <dgm:catLst>
    <dgm:cat type="list" pri="8600"/>
    <dgm:cat type="process" pri="4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One val="branch"/>
      <dgm:animLvl val="lvl"/>
    </dgm:varLst>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constrLst>
      <dgm:constr type="primFontSz" for="des" forName="Parent" val="65"/>
      <dgm:constr type="primFontSz" for="des" forName="Child" refType="primFontSz" refFor="des" refForName="Parent" op="lte"/>
      <dgm:constr type="w" for="ch" forName="composite" refType="w"/>
      <dgm:constr type="h" for="ch" forName="composite" refType="h"/>
      <dgm:constr type="w" for="ch" forName="ParentComposite" refType="w" fact="0.5"/>
      <dgm:constr type="h" for="ch" forName="ParentComposite" refType="h"/>
      <dgm:constr type="w" for="ch" forName="negSibTrans" refType="h" refFor="ch" refForName="composite" fact="-0.075"/>
      <dgm:constr type="w" for="ch" forName="sibTrans" refType="w" refFor="ch" refForName="composite" fact="0.0425"/>
    </dgm:constrLst>
    <dgm:forEach name="nodesForEach" axis="ch" ptType="node" cnt="7">
      <dgm:layoutNode name="ParentComposite">
        <dgm:alg type="composite">
          <dgm:param type="ar" val="0.2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275"/>
              <dgm:constr type="w" for="ch" forName="Parent" refType="w" fact="0.6"/>
              <dgm:constr type="h" for="ch" forName="Parent" refType="h" fact="0.725"/>
              <dgm:constr type="l" for="ch" forName="Chord" refType="w" fact="0"/>
              <dgm:constr type="t" for="ch" forName="Chord" refType="h" fact="0"/>
              <dgm:constr type="w" for="ch" forName="Chord" refType="w"/>
              <dgm:constr type="h" for="ch" forName="Chord" refType="h" fact="0.25"/>
              <dgm:constr type="l" for="ch" forName="Pie" refType="w" fact="0.1"/>
              <dgm:constr type="t" for="ch" forName="Pie" refType="h" fact="0.025"/>
              <dgm:constr type="w" for="ch" forName="Pie" refType="w" fact="0.8"/>
              <dgm:constr type="h" for="ch" forName="Pie" refType="h" fact="0.2"/>
            </dgm:constrLst>
          </dgm:if>
          <dgm:else name="Name6">
            <dgm:constrLst>
              <dgm:constr type="r" for="ch" forName="Parent" refType="w"/>
              <dgm:constr type="t" for="ch" forName="Parent" refType="h" fact="0.275"/>
              <dgm:constr type="w" for="ch" forName="Parent" refType="w" fact="0.6"/>
              <dgm:constr type="h" for="ch" forName="Parent" refType="h" fact="0.725"/>
              <dgm:constr type="r" for="ch" forName="Chord" refType="w"/>
              <dgm:constr type="t" for="ch" forName="Chord" refType="h" fact="0"/>
              <dgm:constr type="w" for="ch" forName="Chord" refType="w"/>
              <dgm:constr type="h" for="ch" forName="Chord" refType="h" fact="0.25"/>
              <dgm:constr type="r" for="ch" forName="Pie" refType="w" fact="0.9"/>
              <dgm:constr type="t" for="ch" forName="Pie" refType="h" fact="0.025"/>
              <dgm:constr type="w" for="ch" forName="Pie" refType="w" fact="0.8"/>
              <dgm:constr type="h" for="ch" forName="Pie" refType="h" fact="0.2"/>
            </dgm:constrLst>
          </dgm:else>
        </dgm:choose>
        <dgm:layoutNode name="Chord" styleLbl="bgShp">
          <dgm:alg type="sp"/>
          <dgm:choose name="Name7">
            <dgm:if name="Name8" func="var" arg="dir" op="equ" val="norm">
              <dgm:shape xmlns:r="http://schemas.openxmlformats.org/officeDocument/2006/relationships" type="chord" r:blip="">
                <dgm:adjLst>
                  <dgm:adj idx="1" val="80"/>
                  <dgm:adj idx="2" val="-80"/>
                </dgm:adjLst>
              </dgm:shape>
            </dgm:if>
            <dgm:else name="Name9">
              <dgm:shape xmlns:r="http://schemas.openxmlformats.org/officeDocument/2006/relationships" rot="180" type="chord" r:blip="">
                <dgm:adjLst>
                  <dgm:adj idx="1" val="80"/>
                  <dgm:adj idx="2" val="-80"/>
                </dgm:adjLst>
              </dgm:shape>
            </dgm:else>
          </dgm:choose>
          <dgm:presOf/>
        </dgm:layoutNode>
        <dgm:layoutNode name="Pie" styleLbl="alignNode1">
          <dgm:alg type="sp"/>
          <dgm:choose name="Name10">
            <dgm:if name="Name11" func="var" arg="dir" op="equ" val="norm">
              <dgm:choose name="Name12">
                <dgm:if name="Name13" axis="precedSib" ptType="node" func="cnt" op="equ" val="0">
                  <dgm:choose name="Name14">
                    <dgm:if name="Name15" axis="followSib" ptType="node" func="cnt" op="equ" val="0">
                      <dgm:shape xmlns:r="http://schemas.openxmlformats.org/officeDocument/2006/relationships" type="pie" r:blip="">
                        <dgm:adjLst>
                          <dgm:adj idx="1" val="90"/>
                          <dgm:adj idx="2" val="-90"/>
                        </dgm:adjLst>
                      </dgm:shape>
                    </dgm:if>
                    <dgm:if name="Name16" axis="followSib" ptType="node" func="cnt" op="equ" val="1">
                      <dgm:shape xmlns:r="http://schemas.openxmlformats.org/officeDocument/2006/relationships" type="pie" r:blip="">
                        <dgm:adjLst>
                          <dgm:adj idx="1" val="180"/>
                          <dgm:adj idx="2" val="-90"/>
                        </dgm:adjLst>
                      </dgm:shape>
                    </dgm:if>
                    <dgm:if name="Name17" axis="followSib" ptType="node" func="cnt" op="equ" val="2">
                      <dgm:shape xmlns:r="http://schemas.openxmlformats.org/officeDocument/2006/relationships" type="pie" r:blip="">
                        <dgm:adjLst>
                          <dgm:adj idx="1" val="-150"/>
                          <dgm:adj idx="2" val="-90"/>
                        </dgm:adjLst>
                      </dgm:shape>
                    </dgm:if>
                    <dgm:if name="Name18" axis="followSib" ptType="node" func="cnt" op="equ" val="3">
                      <dgm:shape xmlns:r="http://schemas.openxmlformats.org/officeDocument/2006/relationships" type="pie" r:blip="">
                        <dgm:adjLst>
                          <dgm:adj idx="1" val="-135"/>
                          <dgm:adj idx="2" val="-90"/>
                        </dgm:adjLst>
                      </dgm:shape>
                    </dgm:if>
                    <dgm:if name="Name19" axis="followSib" ptType="node" func="cnt" op="equ" val="4">
                      <dgm:shape xmlns:r="http://schemas.openxmlformats.org/officeDocument/2006/relationships" type="pie" r:blip="">
                        <dgm:adjLst>
                          <dgm:adj idx="1" val="-126"/>
                          <dgm:adj idx="2" val="-90"/>
                        </dgm:adjLst>
                      </dgm:shape>
                    </dgm:if>
                    <dgm:if name="Name20" axis="followSib" ptType="node" func="cnt" op="equ" val="5">
                      <dgm:shape xmlns:r="http://schemas.openxmlformats.org/officeDocument/2006/relationships" type="pie" r:blip="">
                        <dgm:adjLst>
                          <dgm:adj idx="1" val="-120"/>
                          <dgm:adj idx="2" val="-90"/>
                        </dgm:adjLst>
                      </dgm:shape>
                    </dgm:if>
                    <dgm:else name="Name21">
                      <dgm:shape xmlns:r="http://schemas.openxmlformats.org/officeDocument/2006/relationships" type="pie" r:blip="">
                        <dgm:adjLst>
                          <dgm:adj idx="1" val="-115.7143"/>
                          <dgm:adj idx="2" val="-90"/>
                        </dgm:adjLst>
                      </dgm:shape>
                    </dgm:else>
                  </dgm:choose>
                </dgm:if>
                <dgm:if name="Name22" axis="precedSib" ptType="node" func="cnt" op="equ" val="1">
                  <dgm:choose name="Name23">
                    <dgm:if name="Name24" axis="followSib" ptType="node" func="cnt" op="equ" val="0">
                      <dgm:shape xmlns:r="http://schemas.openxmlformats.org/officeDocument/2006/relationships" type="pie" r:blip="">
                        <dgm:adjLst>
                          <dgm:adj idx="1" val="90"/>
                          <dgm:adj idx="2" val="-90"/>
                        </dgm:adjLst>
                      </dgm:shape>
                    </dgm:if>
                    <dgm:if name="Name25" axis="followSib" ptType="node" func="cnt" op="equ" val="1">
                      <dgm:shape xmlns:r="http://schemas.openxmlformats.org/officeDocument/2006/relationships" type="pie" r:blip="">
                        <dgm:adjLst>
                          <dgm:adj idx="1" val="150"/>
                          <dgm:adj idx="2" val="-90"/>
                        </dgm:adjLst>
                      </dgm:shape>
                    </dgm:if>
                    <dgm:if name="Name26" axis="followSib" ptType="node" func="cnt" op="equ" val="2">
                      <dgm:shape xmlns:r="http://schemas.openxmlformats.org/officeDocument/2006/relationships" type="pie" r:blip="">
                        <dgm:adjLst>
                          <dgm:adj idx="1" val="180"/>
                          <dgm:adj idx="2" val="-90"/>
                        </dgm:adjLst>
                      </dgm:shape>
                    </dgm:if>
                    <dgm:if name="Name27" axis="followSib" ptType="node" func="cnt" op="equ" val="3">
                      <dgm:shape xmlns:r="http://schemas.openxmlformats.org/officeDocument/2006/relationships" type="pie" r:blip="">
                        <dgm:adjLst>
                          <dgm:adj idx="1" val="-162"/>
                          <dgm:adj idx="2" val="-90"/>
                        </dgm:adjLst>
                      </dgm:shape>
                    </dgm:if>
                    <dgm:if name="Name28" axis="followSib" ptType="node" func="cnt" op="equ" val="4">
                      <dgm:shape xmlns:r="http://schemas.openxmlformats.org/officeDocument/2006/relationships" type="pie" r:blip="">
                        <dgm:adjLst>
                          <dgm:adj idx="1" val="-150"/>
                          <dgm:adj idx="2" val="-90"/>
                        </dgm:adjLst>
                      </dgm:shape>
                    </dgm:if>
                    <dgm:else name="Name29">
                      <dgm:shape xmlns:r="http://schemas.openxmlformats.org/officeDocument/2006/relationships" type="pie" r:blip="">
                        <dgm:adjLst>
                          <dgm:adj idx="1" val="-141.4286"/>
                          <dgm:adj idx="2" val="-90"/>
                        </dgm:adjLst>
                      </dgm:shape>
                    </dgm:else>
                  </dgm:choose>
                </dgm:if>
                <dgm:if name="Name30" axis="precedSib" ptType="node" func="cnt" op="equ" val="2">
                  <dgm:choose name="Name31">
                    <dgm:if name="Name32" axis="followSib" ptType="node" func="cnt" op="equ" val="0">
                      <dgm:shape xmlns:r="http://schemas.openxmlformats.org/officeDocument/2006/relationships" type="pie" r:blip="">
                        <dgm:adjLst>
                          <dgm:adj idx="1" val="90"/>
                          <dgm:adj idx="2" val="-90"/>
                        </dgm:adjLst>
                      </dgm:shape>
                    </dgm:if>
                    <dgm:if name="Name33" axis="followSib" ptType="node" func="cnt" op="equ" val="1">
                      <dgm:shape xmlns:r="http://schemas.openxmlformats.org/officeDocument/2006/relationships" type="pie" r:blip="">
                        <dgm:adjLst>
                          <dgm:adj idx="1" val="135"/>
                          <dgm:adj idx="2" val="-90"/>
                        </dgm:adjLst>
                      </dgm:shape>
                    </dgm:if>
                    <dgm:if name="Name34" axis="followSib" ptType="node" func="cnt" op="equ" val="2">
                      <dgm:shape xmlns:r="http://schemas.openxmlformats.org/officeDocument/2006/relationships" type="pie" r:blip="">
                        <dgm:adjLst>
                          <dgm:adj idx="1" val="162"/>
                          <dgm:adj idx="2" val="-90"/>
                        </dgm:adjLst>
                      </dgm:shape>
                    </dgm:if>
                    <dgm:if name="Name35" axis="followSib" ptType="node" func="cnt" op="equ" val="3">
                      <dgm:shape xmlns:r="http://schemas.openxmlformats.org/officeDocument/2006/relationships" type="pie" r:blip="">
                        <dgm:adjLst>
                          <dgm:adj idx="1" val="180"/>
                          <dgm:adj idx="2" val="-90"/>
                        </dgm:adjLst>
                      </dgm:shape>
                    </dgm:if>
                    <dgm:else name="Name36">
                      <dgm:shape xmlns:r="http://schemas.openxmlformats.org/officeDocument/2006/relationships" type="pie" r:blip="">
                        <dgm:adjLst>
                          <dgm:adj idx="1" val="-167.1429"/>
                          <dgm:adj idx="2" val="-90"/>
                        </dgm:adjLst>
                      </dgm:shape>
                    </dgm:else>
                  </dgm:choose>
                </dgm:if>
                <dgm:if name="Name37" axis="precedSib" ptType="node" func="cnt" op="equ" val="3">
                  <dgm:choose name="Name38">
                    <dgm:if name="Name39" axis="followSib" ptType="node" func="cnt" op="equ" val="0">
                      <dgm:shape xmlns:r="http://schemas.openxmlformats.org/officeDocument/2006/relationships" type="pie" r:blip="">
                        <dgm:adjLst>
                          <dgm:adj idx="1" val="90"/>
                          <dgm:adj idx="2" val="-90"/>
                        </dgm:adjLst>
                      </dgm:shape>
                    </dgm:if>
                    <dgm:if name="Name40" axis="followSib" ptType="node" func="cnt" op="equ" val="1">
                      <dgm:shape xmlns:r="http://schemas.openxmlformats.org/officeDocument/2006/relationships" type="pie" r:blip="">
                        <dgm:adjLst>
                          <dgm:adj idx="1" val="126"/>
                          <dgm:adj idx="2" val="-90"/>
                        </dgm:adjLst>
                      </dgm:shape>
                    </dgm:if>
                    <dgm:if name="Name41" axis="followSib" ptType="node" func="cnt" op="equ" val="2">
                      <dgm:shape xmlns:r="http://schemas.openxmlformats.org/officeDocument/2006/relationships" type="pie" r:blip="">
                        <dgm:adjLst>
                          <dgm:adj idx="1" val="150"/>
                          <dgm:adj idx="2" val="-90"/>
                        </dgm:adjLst>
                      </dgm:shape>
                    </dgm:if>
                    <dgm:else name="Name42">
                      <dgm:shape xmlns:r="http://schemas.openxmlformats.org/officeDocument/2006/relationships" type="pie" r:blip="">
                        <dgm:adjLst>
                          <dgm:adj idx="1" val="167.1429"/>
                          <dgm:adj idx="2" val="-90"/>
                        </dgm:adjLst>
                      </dgm:shape>
                    </dgm:else>
                  </dgm:choose>
                </dgm:if>
                <dgm:if name="Name43" axis="precedSib" ptType="node" func="cnt" op="equ" val="4">
                  <dgm:choose name="Name44">
                    <dgm:if name="Name45" axis="followSib" ptType="node" func="cnt" op="equ" val="0">
                      <dgm:shape xmlns:r="http://schemas.openxmlformats.org/officeDocument/2006/relationships" type="pie" r:blip="">
                        <dgm:adjLst>
                          <dgm:adj idx="1" val="90"/>
                          <dgm:adj idx="2" val="-90"/>
                        </dgm:adjLst>
                      </dgm:shape>
                    </dgm:if>
                    <dgm:if name="Name46" axis="followSib" ptType="node" func="cnt" op="equ" val="1">
                      <dgm:shape xmlns:r="http://schemas.openxmlformats.org/officeDocument/2006/relationships" type="pie" r:blip="">
                        <dgm:adjLst>
                          <dgm:adj idx="1" val="120"/>
                          <dgm:adj idx="2" val="-90"/>
                        </dgm:adjLst>
                      </dgm:shape>
                    </dgm:if>
                    <dgm:else name="Name47">
                      <dgm:shape xmlns:r="http://schemas.openxmlformats.org/officeDocument/2006/relationships" type="pie" r:blip="">
                        <dgm:adjLst>
                          <dgm:adj idx="1" val="141.4286"/>
                          <dgm:adj idx="2" val="-90"/>
                        </dgm:adjLst>
                      </dgm:shape>
                    </dgm:else>
                  </dgm:choose>
                </dgm:if>
                <dgm:if name="Name48" axis="precedSib" ptType="node" func="cnt" op="equ" val="5">
                  <dgm:choose name="Name49">
                    <dgm:if name="Name50" axis="followSib" ptType="node" func="cnt" op="equ" val="0">
                      <dgm:shape xmlns:r="http://schemas.openxmlformats.org/officeDocument/2006/relationships" type="pie" r:blip="">
                        <dgm:adjLst>
                          <dgm:adj idx="1" val="90"/>
                          <dgm:adj idx="2" val="-90"/>
                        </dgm:adjLst>
                      </dgm:shape>
                    </dgm:if>
                    <dgm:else name="Name51">
                      <dgm:shape xmlns:r="http://schemas.openxmlformats.org/officeDocument/2006/relationships" type="pie" r:blip="">
                        <dgm:adjLst>
                          <dgm:adj idx="1" val="115.7143"/>
                          <dgm:adj idx="2" val="-90"/>
                        </dgm:adjLst>
                      </dgm:shape>
                    </dgm:else>
                  </dgm:choose>
                </dgm:if>
                <dgm:else name="Name52">
                  <dgm:shape xmlns:r="http://schemas.openxmlformats.org/officeDocument/2006/relationships" type="pie" r:blip="">
                    <dgm:adjLst>
                      <dgm:adj idx="1" val="90"/>
                      <dgm:adj idx="2" val="-90"/>
                    </dgm:adjLst>
                  </dgm:shape>
                </dgm:else>
              </dgm:choose>
            </dgm:if>
            <dgm:else name="Name53">
              <dgm:choose name="Name54">
                <dgm:if name="Name55" axis="precedSib" ptType="node" func="cnt" op="equ" val="0">
                  <dgm:choose name="Name56">
                    <dgm:if name="Name57" axis="followSib" ptType="node" func="cnt" op="equ" val="0">
                      <dgm:shape xmlns:r="http://schemas.openxmlformats.org/officeDocument/2006/relationships" rot="180" type="pie" r:blip="">
                        <dgm:adjLst>
                          <dgm:adj idx="1" val="90"/>
                          <dgm:adj idx="2" val="-90"/>
                        </dgm:adjLst>
                      </dgm:shape>
                    </dgm:if>
                    <dgm:if name="Name58" axis="followSib" ptType="node" func="cnt" op="equ" val="1">
                      <dgm:shape xmlns:r="http://schemas.openxmlformats.org/officeDocument/2006/relationships" rot="180" type="pie" r:blip="">
                        <dgm:adjLst>
                          <dgm:adj idx="1" val="90"/>
                          <dgm:adj idx="2" val="180"/>
                        </dgm:adjLst>
                      </dgm:shape>
                    </dgm:if>
                    <dgm:if name="Name59" axis="followSib" ptType="node" func="cnt" op="equ" val="2">
                      <dgm:shape xmlns:r="http://schemas.openxmlformats.org/officeDocument/2006/relationships" rot="180" type="pie" r:blip="">
                        <dgm:adjLst>
                          <dgm:adj idx="1" val="90"/>
                          <dgm:adj idx="2" val="150"/>
                        </dgm:adjLst>
                      </dgm:shape>
                    </dgm:if>
                    <dgm:if name="Name60" axis="followSib" ptType="node" func="cnt" op="equ" val="3">
                      <dgm:shape xmlns:r="http://schemas.openxmlformats.org/officeDocument/2006/relationships" rot="180" type="pie" r:blip="">
                        <dgm:adjLst>
                          <dgm:adj idx="1" val="90"/>
                          <dgm:adj idx="2" val="135"/>
                        </dgm:adjLst>
                      </dgm:shape>
                    </dgm:if>
                    <dgm:if name="Name61" axis="followSib" ptType="node" func="cnt" op="equ" val="4">
                      <dgm:shape xmlns:r="http://schemas.openxmlformats.org/officeDocument/2006/relationships" rot="180" type="pie" r:blip="">
                        <dgm:adjLst>
                          <dgm:adj idx="1" val="90"/>
                          <dgm:adj idx="2" val="126"/>
                        </dgm:adjLst>
                      </dgm:shape>
                    </dgm:if>
                    <dgm:if name="Name62" axis="followSib" ptType="node" func="cnt" op="equ" val="5">
                      <dgm:shape xmlns:r="http://schemas.openxmlformats.org/officeDocument/2006/relationships" rot="180" type="pie" r:blip="">
                        <dgm:adjLst>
                          <dgm:adj idx="1" val="90"/>
                          <dgm:adj idx="2" val="120"/>
                        </dgm:adjLst>
                      </dgm:shape>
                    </dgm:if>
                    <dgm:else name="Name63">
                      <dgm:shape xmlns:r="http://schemas.openxmlformats.org/officeDocument/2006/relationships" rot="180" type="pie" r:blip="">
                        <dgm:adjLst>
                          <dgm:adj idx="1" val="90"/>
                          <dgm:adj idx="2" val="115.7143"/>
                        </dgm:adjLst>
                      </dgm:shape>
                    </dgm:else>
                  </dgm:choose>
                </dgm:if>
                <dgm:if name="Name64" axis="precedSib" ptType="node" func="cnt" op="equ" val="1">
                  <dgm:choose name="Name65">
                    <dgm:if name="Name66" axis="followSib" ptType="node" func="cnt" op="equ" val="0">
                      <dgm:shape xmlns:r="http://schemas.openxmlformats.org/officeDocument/2006/relationships" rot="180" type="pie" r:blip="">
                        <dgm:adjLst>
                          <dgm:adj idx="1" val="90"/>
                          <dgm:adj idx="2" val="-90"/>
                        </dgm:adjLst>
                      </dgm:shape>
                    </dgm:if>
                    <dgm:if name="Name67" axis="followSib" ptType="node" func="cnt" op="equ" val="1">
                      <dgm:shape xmlns:r="http://schemas.openxmlformats.org/officeDocument/2006/relationships" rot="180" type="pie" r:blip="">
                        <dgm:adjLst>
                          <dgm:adj idx="1" val="90"/>
                          <dgm:adj idx="2" val="-150"/>
                        </dgm:adjLst>
                      </dgm:shape>
                    </dgm:if>
                    <dgm:if name="Name68" axis="followSib" ptType="node" func="cnt" op="equ" val="2">
                      <dgm:shape xmlns:r="http://schemas.openxmlformats.org/officeDocument/2006/relationships" rot="180" type="pie" r:blip="">
                        <dgm:adjLst>
                          <dgm:adj idx="1" val="90"/>
                          <dgm:adj idx="2" val="180"/>
                        </dgm:adjLst>
                      </dgm:shape>
                    </dgm:if>
                    <dgm:if name="Name69" axis="followSib" ptType="node" func="cnt" op="equ" val="3">
                      <dgm:shape xmlns:r="http://schemas.openxmlformats.org/officeDocument/2006/relationships" rot="180" type="pie" r:blip="">
                        <dgm:adjLst>
                          <dgm:adj idx="1" val="90"/>
                          <dgm:adj idx="2" val="162"/>
                        </dgm:adjLst>
                      </dgm:shape>
                    </dgm:if>
                    <dgm:if name="Name70" axis="followSib" ptType="node" func="cnt" op="equ" val="4">
                      <dgm:shape xmlns:r="http://schemas.openxmlformats.org/officeDocument/2006/relationships" rot="180" type="pie" r:blip="">
                        <dgm:adjLst>
                          <dgm:adj idx="1" val="90"/>
                          <dgm:adj idx="2" val="150"/>
                        </dgm:adjLst>
                      </dgm:shape>
                    </dgm:if>
                    <dgm:else name="Name71">
                      <dgm:shape xmlns:r="http://schemas.openxmlformats.org/officeDocument/2006/relationships" rot="180" type="pie" r:blip="">
                        <dgm:adjLst>
                          <dgm:adj idx="1" val="90"/>
                          <dgm:adj idx="2" val="141.4286"/>
                        </dgm:adjLst>
                      </dgm:shape>
                    </dgm:else>
                  </dgm:choose>
                </dgm:if>
                <dgm:if name="Name72" axis="precedSib" ptType="node" func="cnt" op="equ" val="2">
                  <dgm:choose name="Name73">
                    <dgm:if name="Name74" axis="followSib" ptType="node" func="cnt" op="equ" val="0">
                      <dgm:shape xmlns:r="http://schemas.openxmlformats.org/officeDocument/2006/relationships" rot="180" type="pie" r:blip="">
                        <dgm:adjLst>
                          <dgm:adj idx="1" val="90"/>
                          <dgm:adj idx="2" val="-90"/>
                        </dgm:adjLst>
                      </dgm:shape>
                    </dgm:if>
                    <dgm:if name="Name75" axis="followSib" ptType="node" func="cnt" op="equ" val="1">
                      <dgm:shape xmlns:r="http://schemas.openxmlformats.org/officeDocument/2006/relationships" rot="180" type="pie" r:blip="">
                        <dgm:adjLst>
                          <dgm:adj idx="1" val="90"/>
                          <dgm:adj idx="2" val="-135"/>
                        </dgm:adjLst>
                      </dgm:shape>
                    </dgm:if>
                    <dgm:if name="Name76" axis="followSib" ptType="node" func="cnt" op="equ" val="2">
                      <dgm:shape xmlns:r="http://schemas.openxmlformats.org/officeDocument/2006/relationships" rot="180" type="pie" r:blip="">
                        <dgm:adjLst>
                          <dgm:adj idx="1" val="90"/>
                          <dgm:adj idx="2" val="-162"/>
                        </dgm:adjLst>
                      </dgm:shape>
                    </dgm:if>
                    <dgm:if name="Name77" axis="followSib" ptType="node" func="cnt" op="equ" val="3">
                      <dgm:shape xmlns:r="http://schemas.openxmlformats.org/officeDocument/2006/relationships" rot="180" type="pie" r:blip="">
                        <dgm:adjLst>
                          <dgm:adj idx="1" val="90"/>
                          <dgm:adj idx="2" val="180"/>
                        </dgm:adjLst>
                      </dgm:shape>
                    </dgm:if>
                    <dgm:else name="Name78">
                      <dgm:shape xmlns:r="http://schemas.openxmlformats.org/officeDocument/2006/relationships" rot="180" type="pie" r:blip="">
                        <dgm:adjLst>
                          <dgm:adj idx="1" val="90"/>
                          <dgm:adj idx="2" val="167.1429"/>
                        </dgm:adjLst>
                      </dgm:shape>
                    </dgm:else>
                  </dgm:choose>
                </dgm:if>
                <dgm:if name="Name79" axis="precedSib" ptType="node" func="cnt" op="equ" val="3">
                  <dgm:choose name="Name80">
                    <dgm:if name="Name81" axis="followSib" ptType="node" func="cnt" op="equ" val="0">
                      <dgm:shape xmlns:r="http://schemas.openxmlformats.org/officeDocument/2006/relationships" rot="180" type="pie" r:blip="">
                        <dgm:adjLst>
                          <dgm:adj idx="1" val="90"/>
                          <dgm:adj idx="2" val="-90"/>
                        </dgm:adjLst>
                      </dgm:shape>
                    </dgm:if>
                    <dgm:if name="Name82" axis="followSib" ptType="node" func="cnt" op="equ" val="1">
                      <dgm:shape xmlns:r="http://schemas.openxmlformats.org/officeDocument/2006/relationships" rot="180" type="pie" r:blip="">
                        <dgm:adjLst>
                          <dgm:adj idx="1" val="90"/>
                          <dgm:adj idx="2" val="-126"/>
                        </dgm:adjLst>
                      </dgm:shape>
                    </dgm:if>
                    <dgm:if name="Name83" axis="followSib" ptType="node" func="cnt" op="equ" val="2">
                      <dgm:shape xmlns:r="http://schemas.openxmlformats.org/officeDocument/2006/relationships" rot="180" type="pie" r:blip="">
                        <dgm:adjLst>
                          <dgm:adj idx="1" val="90"/>
                          <dgm:adj idx="2" val="-150"/>
                        </dgm:adjLst>
                      </dgm:shape>
                    </dgm:if>
                    <dgm:else name="Name84">
                      <dgm:shape xmlns:r="http://schemas.openxmlformats.org/officeDocument/2006/relationships" rot="180" type="pie" r:blip="">
                        <dgm:adjLst>
                          <dgm:adj idx="1" val="90"/>
                          <dgm:adj idx="2" val="-167.1429"/>
                        </dgm:adjLst>
                      </dgm:shape>
                    </dgm:else>
                  </dgm:choose>
                </dgm:if>
                <dgm:if name="Name85" axis="precedSib" ptType="node" func="cnt" op="equ" val="4">
                  <dgm:choose name="Name86">
                    <dgm:if name="Name87" axis="followSib" ptType="node" func="cnt" op="equ" val="0">
                      <dgm:shape xmlns:r="http://schemas.openxmlformats.org/officeDocument/2006/relationships" rot="180" type="pie" r:blip="">
                        <dgm:adjLst>
                          <dgm:adj idx="1" val="90"/>
                          <dgm:adj idx="2" val="-90"/>
                        </dgm:adjLst>
                      </dgm:shape>
                    </dgm:if>
                    <dgm:if name="Name88" axis="followSib" ptType="node" func="cnt" op="equ" val="1">
                      <dgm:shape xmlns:r="http://schemas.openxmlformats.org/officeDocument/2006/relationships" rot="180" type="pie" r:blip="">
                        <dgm:adjLst>
                          <dgm:adj idx="1" val="90"/>
                          <dgm:adj idx="2" val="-120"/>
                        </dgm:adjLst>
                      </dgm:shape>
                    </dgm:if>
                    <dgm:else name="Name89">
                      <dgm:shape xmlns:r="http://schemas.openxmlformats.org/officeDocument/2006/relationships" rot="180" type="pie" r:blip="">
                        <dgm:adjLst>
                          <dgm:adj idx="1" val="90"/>
                          <dgm:adj idx="2" val="-141.4286"/>
                        </dgm:adjLst>
                      </dgm:shape>
                    </dgm:else>
                  </dgm:choose>
                </dgm:if>
                <dgm:if name="Name90" axis="precedSib" ptType="node" func="cnt" op="equ" val="5">
                  <dgm:choose name="Name91">
                    <dgm:if name="Name92" axis="followSib" ptType="node" func="cnt" op="equ" val="0">
                      <dgm:shape xmlns:r="http://schemas.openxmlformats.org/officeDocument/2006/relationships" rot="180" type="pie" r:blip="">
                        <dgm:adjLst>
                          <dgm:adj idx="1" val="90"/>
                          <dgm:adj idx="2" val="-90"/>
                        </dgm:adjLst>
                      </dgm:shape>
                    </dgm:if>
                    <dgm:else name="Name93">
                      <dgm:shape xmlns:r="http://schemas.openxmlformats.org/officeDocument/2006/relationships" rot="180" type="pie" r:blip="">
                        <dgm:adjLst>
                          <dgm:adj idx="1" val="90"/>
                          <dgm:adj idx="2" val="-115.7143"/>
                        </dgm:adjLst>
                      </dgm:shape>
                    </dgm:else>
                  </dgm:choose>
                </dgm:if>
                <dgm:else name="Name94">
                  <dgm:shape xmlns:r="http://schemas.openxmlformats.org/officeDocument/2006/relationships" rot="180" type="pie" r:blip="">
                    <dgm:adjLst>
                      <dgm:adj idx="1" val="90"/>
                      <dgm:adj idx="2" val="-90"/>
                    </dgm:adjLst>
                  </dgm:shape>
                </dgm:else>
              </dgm:choose>
            </dgm:else>
          </dgm:choose>
          <dgm:presOf/>
        </dgm:layoutNode>
        <dgm:layoutNode name="Parent" styleLbl="revTx">
          <dgm:varLst>
            <dgm:chMax val="1"/>
            <dgm:chPref val="1"/>
            <dgm:bulletEnabled val="1"/>
          </dgm:varLst>
          <dgm:choose name="Name95">
            <dgm:if name="Name96" func="var" arg="dir" op="equ" val="norm">
              <dgm:alg type="tx">
                <dgm:param type="parTxLTRAlign" val="r"/>
                <dgm:param type="parTxRTLAlign" val="r"/>
                <dgm:param type="shpTxLTRAlignCh" val="r"/>
                <dgm:param type="shpTxRTLAlignCh" val="r"/>
                <dgm:param type="txAnchorVert" val="b"/>
                <dgm:param type="autoTxRot" val="grav"/>
              </dgm:alg>
            </dgm:if>
            <dgm:else name="Name97">
              <dgm:alg type="tx">
                <dgm:param type="parTxLTRAlign" val="l"/>
                <dgm:param type="parTxRTLAlign" val="l"/>
                <dgm:param type="shpTxLTRAlignCh" val="l"/>
                <dgm:param type="shpTxRTLAlignCh" val="l"/>
                <dgm:param type="txAnchorVert" val="b"/>
                <dgm:param type="autoTxRot" val="grav"/>
              </dgm:alg>
            </dgm:else>
          </dgm:choose>
          <dgm:choose name="Name98">
            <dgm:if name="Name99" func="var" arg="dir" op="equ" val="norm">
              <dgm:shape xmlns:r="http://schemas.openxmlformats.org/officeDocument/2006/relationships" rot="-90" type="rect" r:blip="">
                <dgm:adjLst/>
              </dgm:shape>
            </dgm:if>
            <dgm:else name="Name100">
              <dgm:shape xmlns:r="http://schemas.openxmlformats.org/officeDocument/2006/relationships" rot="90" type="rect" r:blip="">
                <dgm:adjLst/>
              </dgm:shape>
            </dgm:else>
          </dgm:choose>
          <dgm:presOf axis="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choose name="Name101">
        <dgm:if name="Name102" axis="ch" ptType="node" func="cnt" op="gte" val="1">
          <dgm:forEach name="negSibTransForEach" axis="ch" ptType="sibTrans" hideLastTrans="0" cnt="1">
            <dgm:layoutNode name="negSibTrans">
              <dgm:alg type="sp"/>
              <dgm:shape xmlns:r="http://schemas.openxmlformats.org/officeDocument/2006/relationships" r:blip="">
                <dgm:adjLst/>
              </dgm:shape>
            </dgm:layoutNode>
          </dgm:forEach>
          <dgm:layoutNode name="composite">
            <dgm:alg type="composite">
              <dgm:param type="ar" val="0.5"/>
            </dgm:alg>
            <dgm:shape xmlns:r="http://schemas.openxmlformats.org/officeDocument/2006/relationships" r:blip="">
              <dgm:adjLst/>
            </dgm:shape>
            <dgm:choose name="Name103">
              <dgm:if name="Name104" func="var" arg="dir" op="equ" val="norm">
                <dgm:constrLst>
                  <dgm:constr type="l" for="ch" forName="Child" refType="w" fact="0"/>
                  <dgm:constr type="t" for="ch" forName="Child" refType="h" fact="0"/>
                  <dgm:constr type="w" for="ch" forName="Child" refType="w"/>
                  <dgm:constr type="h" for="ch" forName="Child" refType="h"/>
                </dgm:constrLst>
              </dgm:if>
              <dgm:else name="Name105">
                <dgm:constrLst>
                  <dgm:constr type="r" for="ch" forName="Child" refType="w"/>
                  <dgm:constr type="t" for="ch" forName="Child" refType="h" fact="0"/>
                  <dgm:constr type="w" for="ch" forName="Child" refType="w"/>
                  <dgm:constr type="h" for="ch" forName="Child" refType="h"/>
                </dgm:constrLst>
              </dgm:else>
            </dgm:choose>
            <dgm:ruleLst/>
            <dgm:layoutNode name="Child" styleLbl="revTx">
              <dgm:varLst>
                <dgm:chMax val="0"/>
                <dgm:chPref val="0"/>
                <dgm:bulletEnabled val="1"/>
              </dgm:varLst>
              <dgm:choose name="Name106">
                <dgm:if name="Name107" func="var" arg="dir" op="equ" val="norm">
                  <dgm:alg type="tx">
                    <dgm:param type="parTxLTRAlign" val="l"/>
                    <dgm:param type="parTxRTLAlign" val="r"/>
                    <dgm:param type="txAnchorVert" val="t"/>
                  </dgm:alg>
                </dgm:if>
                <dgm:else name="Name108">
                  <dgm:alg type="tx">
                    <dgm:param type="parTxLTRAlign" val="r"/>
                    <dgm:param type="parTxRTLAlign" val="l"/>
                    <dgm:param type="txAnchorVert" val="t"/>
                  </dgm:alg>
                </dgm:else>
              </dgm:choose>
              <dgm:shape xmlns:r="http://schemas.openxmlformats.org/officeDocument/2006/relationships" type="rect" r:blip="">
                <dgm:adjLst/>
              </dgm:shape>
              <dgm:presOf axis="des"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if>
        <dgm:else name="Name10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43BD32D2-6427-4469-87EC-503B6CB5F0E1}"/>
      </w:docPartPr>
      <w:docPartBody>
        <w:p w:rsidR="00434F87" w:rsidRDefault="00434F8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ncizar Sans">
    <w:panose1 w:val="020B0602040300000003"/>
    <w:charset w:val="00"/>
    <w:family w:val="swiss"/>
    <w:notTrueType/>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34F87"/>
    <w:rsid w:val="00027122"/>
    <w:rsid w:val="00131680"/>
    <w:rsid w:val="00212175"/>
    <w:rsid w:val="00434F87"/>
    <w:rsid w:val="00902975"/>
    <w:rsid w:val="00B637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6B29A-BD08-4BDA-A47F-60D3D374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17</Pages>
  <Words>6047</Words>
  <Characters>137171</Characters>
  <Application>Microsoft Office Word</Application>
  <DocSecurity>0</DocSecurity>
  <Lines>2637</Lines>
  <Paragraphs>1278</Paragraphs>
  <ScaleCrop>false</ScaleCrop>
  <Company/>
  <LinksUpToDate>false</LinksUpToDate>
  <CharactersWithSpaces>141940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Mateo Bedoya García</dc:creator>
  <cp:keywords/>
  <dc:description/>
  <cp:lastModifiedBy>Mateo Bedoya García</cp:lastModifiedBy>
  <cp:revision>381</cp:revision>
  <cp:lastPrinted>2021-11-03T19:36:00Z</cp:lastPrinted>
  <dcterms:created xsi:type="dcterms:W3CDTF">2021-11-04T21:15:00Z</dcterms:created>
  <dcterms:modified xsi:type="dcterms:W3CDTF">2021-11-15T23:20:00Z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http://csl.mendeley.com/styles/446510341/apa-SPA-2021</vt:lpwstr>
  </property>
  <property fmtid="{D5CDD505-2E9C-101B-9397-08002B2CF9AE}" pid="9" name="Mendeley Recent Style Name 3_1">
    <vt:lpwstr>American Psychological Association 7th edition - Mateo Bedoya-García</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e390ce3f-501f-38fe-9e6d-6cd9dca4e75d</vt:lpwstr>
  </property>
  <property fmtid="{D5CDD505-2E9C-101B-9397-08002B2CF9AE}" pid="24" name="Mendeley Citation Style_1">
    <vt:lpwstr>http://csl.mendeley.com/styles/446510341/apa-SPA-2021</vt:lpwstr>
  </property>
</Properties>
</file>