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E379E" w14:textId="3B2039FC" w:rsidR="007B64B0" w:rsidRPr="009E4CBC" w:rsidRDefault="007B64B0" w:rsidP="009E4CBC">
      <w:pPr>
        <w:spacing w:after="0" w:line="240" w:lineRule="auto"/>
        <w:jc w:val="center"/>
        <w:outlineLvl w:val="0"/>
        <w:rPr>
          <w:rFonts w:eastAsia="Times New Roman" w:cstheme="minorHAnsi"/>
          <w:kern w:val="36"/>
          <w:sz w:val="34"/>
          <w:szCs w:val="34"/>
          <w:lang w:eastAsia="es-AR"/>
        </w:rPr>
      </w:pPr>
      <w:r w:rsidRPr="009E4CBC">
        <w:rPr>
          <w:rFonts w:eastAsia="Times New Roman" w:cstheme="minorHAnsi"/>
          <w:kern w:val="36"/>
          <w:sz w:val="34"/>
          <w:szCs w:val="34"/>
          <w:lang w:eastAsia="es-AR"/>
        </w:rPr>
        <w:t>26º Encuentro Nacional de Investigadores Universitarios del Área Contable y 16º Simposio Regional de Investigación Contable</w:t>
      </w:r>
    </w:p>
    <w:p w14:paraId="3F284A0B" w14:textId="77777777" w:rsidR="007B64B0" w:rsidRPr="009E4CBC" w:rsidRDefault="007B64B0" w:rsidP="009E4CBC">
      <w:pPr>
        <w:shd w:val="clear" w:color="auto" w:fill="FCFCFC"/>
        <w:spacing w:after="0" w:line="240" w:lineRule="auto"/>
        <w:ind w:left="1080"/>
        <w:jc w:val="center"/>
        <w:textAlignment w:val="baseline"/>
        <w:rPr>
          <w:rFonts w:eastAsia="Times New Roman" w:cstheme="minorHAnsi"/>
          <w:sz w:val="24"/>
          <w:szCs w:val="24"/>
          <w:lang w:eastAsia="es-AR"/>
        </w:rPr>
      </w:pPr>
    </w:p>
    <w:p w14:paraId="45DDEF03" w14:textId="77777777" w:rsidR="007B64B0" w:rsidRPr="009E4CBC" w:rsidRDefault="007B64B0" w:rsidP="009E4CBC">
      <w:pPr>
        <w:shd w:val="clear" w:color="auto" w:fill="FCFCFC"/>
        <w:spacing w:after="0" w:line="240" w:lineRule="auto"/>
        <w:textAlignment w:val="baseline"/>
        <w:rPr>
          <w:rFonts w:eastAsia="Times New Roman" w:cstheme="minorHAnsi"/>
          <w:sz w:val="24"/>
          <w:szCs w:val="24"/>
          <w:lang w:eastAsia="es-AR"/>
        </w:rPr>
      </w:pPr>
    </w:p>
    <w:p w14:paraId="6E27332F" w14:textId="43626B4D" w:rsidR="007B64B0" w:rsidRPr="009E4CBC" w:rsidRDefault="007B64B0" w:rsidP="009E4CBC">
      <w:pPr>
        <w:shd w:val="clear" w:color="auto" w:fill="FCFCFC"/>
        <w:spacing w:after="0" w:line="240" w:lineRule="auto"/>
        <w:jc w:val="center"/>
        <w:textAlignment w:val="baseline"/>
        <w:rPr>
          <w:rFonts w:eastAsia="Times New Roman" w:cstheme="minorHAnsi"/>
          <w:b/>
          <w:i/>
          <w:sz w:val="28"/>
          <w:szCs w:val="28"/>
          <w:lang w:eastAsia="es-AR"/>
        </w:rPr>
      </w:pPr>
      <w:r w:rsidRPr="009E4CBC">
        <w:rPr>
          <w:rFonts w:eastAsia="Times New Roman" w:cstheme="minorHAnsi"/>
          <w:b/>
          <w:i/>
          <w:sz w:val="28"/>
          <w:szCs w:val="28"/>
          <w:lang w:eastAsia="es-AR"/>
        </w:rPr>
        <w:t>Tema: Contabilidad Patrimonial y Financiera</w:t>
      </w:r>
    </w:p>
    <w:p w14:paraId="70E37DE5" w14:textId="77777777" w:rsidR="007B64B0" w:rsidRPr="009E4CBC" w:rsidRDefault="007B64B0" w:rsidP="009E4CBC">
      <w:pPr>
        <w:shd w:val="clear" w:color="auto" w:fill="FCFCFC"/>
        <w:spacing w:after="0" w:line="240" w:lineRule="auto"/>
        <w:ind w:left="1080"/>
        <w:jc w:val="center"/>
        <w:textAlignment w:val="baseline"/>
        <w:rPr>
          <w:rFonts w:eastAsia="Times New Roman" w:cstheme="minorHAnsi"/>
          <w:b/>
          <w:i/>
          <w:sz w:val="28"/>
          <w:szCs w:val="28"/>
          <w:lang w:eastAsia="es-AR"/>
        </w:rPr>
      </w:pPr>
    </w:p>
    <w:p w14:paraId="56AC2F4E" w14:textId="77777777" w:rsidR="007B64B0" w:rsidRPr="009E4CBC" w:rsidRDefault="007B64B0" w:rsidP="009E4CBC">
      <w:pPr>
        <w:shd w:val="clear" w:color="auto" w:fill="FCFCFC"/>
        <w:spacing w:after="0" w:line="240" w:lineRule="auto"/>
        <w:textAlignment w:val="baseline"/>
        <w:rPr>
          <w:rFonts w:eastAsia="Times New Roman" w:cstheme="minorHAnsi"/>
          <w:b/>
          <w:i/>
          <w:sz w:val="28"/>
          <w:szCs w:val="28"/>
          <w:lang w:eastAsia="es-AR"/>
        </w:rPr>
      </w:pPr>
    </w:p>
    <w:p w14:paraId="269FA199" w14:textId="77777777" w:rsidR="007B64B0" w:rsidRPr="009E4CBC" w:rsidRDefault="007B64B0" w:rsidP="009E4CBC">
      <w:pPr>
        <w:shd w:val="clear" w:color="auto" w:fill="FCFCFC"/>
        <w:spacing w:after="0" w:line="240" w:lineRule="auto"/>
        <w:jc w:val="center"/>
        <w:textAlignment w:val="baseline"/>
        <w:rPr>
          <w:rFonts w:eastAsia="Times New Roman" w:cstheme="minorHAnsi"/>
          <w:b/>
          <w:i/>
          <w:sz w:val="28"/>
          <w:szCs w:val="28"/>
          <w:lang w:eastAsia="es-AR"/>
        </w:rPr>
      </w:pPr>
      <w:r w:rsidRPr="009E4CBC">
        <w:rPr>
          <w:rFonts w:eastAsia="Times New Roman" w:cstheme="minorHAnsi"/>
          <w:b/>
          <w:i/>
          <w:sz w:val="28"/>
          <w:szCs w:val="28"/>
          <w:lang w:eastAsia="es-AR"/>
        </w:rPr>
        <w:t>Título del trabajo:</w:t>
      </w:r>
    </w:p>
    <w:p w14:paraId="55073163" w14:textId="77777777" w:rsidR="007B64B0" w:rsidRPr="009E4CBC" w:rsidRDefault="007B64B0" w:rsidP="009E4CBC">
      <w:pPr>
        <w:shd w:val="clear" w:color="auto" w:fill="FCFCFC"/>
        <w:spacing w:after="0" w:line="240" w:lineRule="auto"/>
        <w:jc w:val="center"/>
        <w:textAlignment w:val="baseline"/>
        <w:rPr>
          <w:rFonts w:eastAsia="Times New Roman" w:cstheme="minorHAnsi"/>
          <w:b/>
          <w:i/>
          <w:sz w:val="28"/>
          <w:szCs w:val="28"/>
          <w:lang w:eastAsia="es-AR"/>
        </w:rPr>
      </w:pPr>
    </w:p>
    <w:p w14:paraId="0FFE95C2" w14:textId="3EE29E15" w:rsidR="007B64B0" w:rsidRPr="009E4CBC" w:rsidRDefault="002671F0" w:rsidP="009E4CBC">
      <w:pPr>
        <w:shd w:val="clear" w:color="auto" w:fill="FCFCFC"/>
        <w:spacing w:after="0" w:line="240" w:lineRule="auto"/>
        <w:jc w:val="center"/>
        <w:textAlignment w:val="baseline"/>
        <w:rPr>
          <w:rFonts w:eastAsia="Times New Roman" w:cstheme="minorHAnsi"/>
          <w:b/>
          <w:i/>
          <w:sz w:val="28"/>
          <w:szCs w:val="28"/>
          <w:lang w:eastAsia="es-AR"/>
        </w:rPr>
      </w:pPr>
      <w:r w:rsidRPr="009E4CBC">
        <w:rPr>
          <w:rFonts w:eastAsia="Times New Roman" w:cstheme="minorHAnsi"/>
          <w:b/>
          <w:i/>
          <w:sz w:val="28"/>
          <w:szCs w:val="28"/>
          <w:lang w:eastAsia="es-AR"/>
        </w:rPr>
        <w:t>Conversión de estados financieros: un abordaje de la normativa argentina e internacional</w:t>
      </w:r>
    </w:p>
    <w:p w14:paraId="34C3F171" w14:textId="77777777" w:rsidR="007B64B0" w:rsidRPr="009E4CBC" w:rsidRDefault="007B64B0" w:rsidP="009E4CBC">
      <w:pPr>
        <w:shd w:val="clear" w:color="auto" w:fill="FCFCFC"/>
        <w:spacing w:after="0" w:line="240" w:lineRule="auto"/>
        <w:jc w:val="center"/>
        <w:textAlignment w:val="baseline"/>
        <w:rPr>
          <w:rFonts w:eastAsia="Times New Roman" w:cstheme="minorHAnsi"/>
          <w:b/>
          <w:i/>
          <w:sz w:val="28"/>
          <w:szCs w:val="28"/>
          <w:lang w:eastAsia="es-AR"/>
        </w:rPr>
      </w:pPr>
    </w:p>
    <w:p w14:paraId="5C125E35" w14:textId="77777777" w:rsidR="007B64B0" w:rsidRPr="009E4CBC" w:rsidRDefault="007B64B0" w:rsidP="009E4CBC">
      <w:pPr>
        <w:shd w:val="clear" w:color="auto" w:fill="FCFCFC"/>
        <w:spacing w:after="0" w:line="240" w:lineRule="auto"/>
        <w:ind w:left="1080"/>
        <w:jc w:val="center"/>
        <w:textAlignment w:val="baseline"/>
        <w:rPr>
          <w:rFonts w:eastAsia="Times New Roman" w:cstheme="minorHAnsi"/>
          <w:b/>
          <w:i/>
          <w:sz w:val="28"/>
          <w:szCs w:val="28"/>
          <w:lang w:eastAsia="es-AR"/>
        </w:rPr>
      </w:pPr>
    </w:p>
    <w:p w14:paraId="47B4EF25" w14:textId="77777777" w:rsidR="007B64B0" w:rsidRPr="009E4CBC" w:rsidRDefault="007B64B0" w:rsidP="009E4CBC">
      <w:pPr>
        <w:shd w:val="clear" w:color="auto" w:fill="FCFCFC"/>
        <w:spacing w:after="0" w:line="240" w:lineRule="auto"/>
        <w:ind w:left="1080"/>
        <w:jc w:val="center"/>
        <w:textAlignment w:val="baseline"/>
        <w:rPr>
          <w:rFonts w:eastAsia="Times New Roman" w:cstheme="minorHAnsi"/>
          <w:b/>
          <w:i/>
          <w:sz w:val="28"/>
          <w:szCs w:val="28"/>
          <w:lang w:eastAsia="es-AR"/>
        </w:rPr>
      </w:pPr>
    </w:p>
    <w:p w14:paraId="03473AC2" w14:textId="77777777" w:rsidR="007B64B0" w:rsidRPr="009E4CBC" w:rsidRDefault="007B64B0" w:rsidP="009E4CBC">
      <w:pPr>
        <w:shd w:val="clear" w:color="auto" w:fill="FCFCFC"/>
        <w:spacing w:after="0" w:line="240" w:lineRule="auto"/>
        <w:ind w:left="1080"/>
        <w:jc w:val="center"/>
        <w:textAlignment w:val="baseline"/>
        <w:rPr>
          <w:rFonts w:eastAsia="Times New Roman" w:cstheme="minorHAnsi"/>
          <w:b/>
          <w:i/>
          <w:sz w:val="28"/>
          <w:szCs w:val="28"/>
          <w:lang w:eastAsia="es-AR"/>
        </w:rPr>
      </w:pPr>
    </w:p>
    <w:p w14:paraId="5EA5CF8F" w14:textId="77777777" w:rsidR="007B64B0" w:rsidRPr="00B10C99" w:rsidRDefault="007B64B0" w:rsidP="009E4CBC">
      <w:pPr>
        <w:tabs>
          <w:tab w:val="left" w:pos="2835"/>
        </w:tabs>
        <w:spacing w:line="240" w:lineRule="auto"/>
        <w:jc w:val="center"/>
        <w:rPr>
          <w:rFonts w:cstheme="minorHAnsi"/>
          <w:b/>
          <w:i/>
          <w:sz w:val="28"/>
          <w:szCs w:val="28"/>
          <w:lang w:val="pt-BR"/>
        </w:rPr>
      </w:pPr>
      <w:r w:rsidRPr="00B10C99">
        <w:rPr>
          <w:rFonts w:cstheme="minorHAnsi"/>
          <w:b/>
          <w:i/>
          <w:sz w:val="28"/>
          <w:szCs w:val="28"/>
          <w:lang w:val="pt-BR"/>
        </w:rPr>
        <w:t>AUTORES:</w:t>
      </w:r>
    </w:p>
    <w:p w14:paraId="4B1AFA9F" w14:textId="3A980C70" w:rsidR="007B64B0" w:rsidRPr="00B10C99" w:rsidRDefault="00677EAC" w:rsidP="009E4CBC">
      <w:pPr>
        <w:spacing w:line="240" w:lineRule="auto"/>
        <w:jc w:val="center"/>
        <w:rPr>
          <w:rFonts w:cstheme="minorHAnsi"/>
          <w:b/>
          <w:i/>
          <w:sz w:val="28"/>
          <w:szCs w:val="28"/>
          <w:lang w:val="pt-BR"/>
        </w:rPr>
      </w:pPr>
      <w:r w:rsidRPr="00B10C99">
        <w:rPr>
          <w:rFonts w:cstheme="minorHAnsi"/>
          <w:b/>
          <w:i/>
          <w:sz w:val="28"/>
          <w:szCs w:val="28"/>
          <w:lang w:val="pt-BR"/>
        </w:rPr>
        <w:t xml:space="preserve">BARBEI, Alejandro A. </w:t>
      </w:r>
      <w:r w:rsidR="007B64B0" w:rsidRPr="00B10C99">
        <w:rPr>
          <w:rFonts w:cstheme="minorHAnsi"/>
          <w:b/>
          <w:i/>
          <w:sz w:val="28"/>
          <w:szCs w:val="28"/>
          <w:lang w:val="pt-BR"/>
        </w:rPr>
        <w:t>(1)</w:t>
      </w:r>
    </w:p>
    <w:p w14:paraId="5CF4BDFB" w14:textId="4D37C1D4" w:rsidR="007B64B0" w:rsidRPr="00B10C99" w:rsidRDefault="00677EAC" w:rsidP="009E4CBC">
      <w:pPr>
        <w:spacing w:line="240" w:lineRule="auto"/>
        <w:jc w:val="center"/>
        <w:rPr>
          <w:rFonts w:cstheme="minorHAnsi"/>
          <w:b/>
          <w:i/>
          <w:sz w:val="28"/>
          <w:szCs w:val="28"/>
          <w:lang w:val="pt-BR"/>
        </w:rPr>
      </w:pPr>
      <w:r w:rsidRPr="00B10C99">
        <w:rPr>
          <w:rFonts w:cstheme="minorHAnsi"/>
          <w:b/>
          <w:i/>
          <w:sz w:val="28"/>
          <w:szCs w:val="28"/>
          <w:lang w:val="pt-BR"/>
        </w:rPr>
        <w:t>CAIVANO</w:t>
      </w:r>
      <w:r w:rsidR="007B64B0" w:rsidRPr="00B10C99">
        <w:rPr>
          <w:rFonts w:cstheme="minorHAnsi"/>
          <w:b/>
          <w:i/>
          <w:sz w:val="28"/>
          <w:szCs w:val="28"/>
          <w:lang w:val="pt-BR"/>
        </w:rPr>
        <w:t xml:space="preserve">, </w:t>
      </w:r>
      <w:r w:rsidRPr="00B10C99">
        <w:rPr>
          <w:rFonts w:cstheme="minorHAnsi"/>
          <w:b/>
          <w:i/>
          <w:sz w:val="28"/>
          <w:szCs w:val="28"/>
          <w:lang w:val="pt-BR"/>
        </w:rPr>
        <w:t>Giuliana</w:t>
      </w:r>
      <w:r w:rsidR="007B64B0" w:rsidRPr="00B10C99">
        <w:rPr>
          <w:rFonts w:cstheme="minorHAnsi"/>
          <w:b/>
          <w:i/>
          <w:sz w:val="28"/>
          <w:szCs w:val="28"/>
          <w:lang w:val="pt-BR"/>
        </w:rPr>
        <w:t xml:space="preserve"> (2)</w:t>
      </w:r>
    </w:p>
    <w:p w14:paraId="663C8E26" w14:textId="41D315FD" w:rsidR="00677EAC" w:rsidRPr="009E4CBC" w:rsidRDefault="00677EAC" w:rsidP="00677EAC">
      <w:pPr>
        <w:spacing w:line="240" w:lineRule="auto"/>
        <w:jc w:val="center"/>
        <w:rPr>
          <w:rFonts w:cstheme="minorHAnsi"/>
          <w:b/>
          <w:i/>
          <w:sz w:val="28"/>
          <w:szCs w:val="28"/>
        </w:rPr>
      </w:pPr>
      <w:r>
        <w:rPr>
          <w:rFonts w:cstheme="minorHAnsi"/>
          <w:b/>
          <w:i/>
          <w:sz w:val="28"/>
          <w:szCs w:val="28"/>
        </w:rPr>
        <w:t>GONZALEZ</w:t>
      </w:r>
      <w:r w:rsidRPr="009E4CBC">
        <w:rPr>
          <w:rFonts w:cstheme="minorHAnsi"/>
          <w:b/>
          <w:i/>
          <w:sz w:val="28"/>
          <w:szCs w:val="28"/>
        </w:rPr>
        <w:t xml:space="preserve">, </w:t>
      </w:r>
      <w:r>
        <w:rPr>
          <w:rFonts w:cstheme="minorHAnsi"/>
          <w:b/>
          <w:i/>
          <w:sz w:val="28"/>
          <w:szCs w:val="28"/>
        </w:rPr>
        <w:t>Paula C.</w:t>
      </w:r>
      <w:r w:rsidRPr="009E4CBC">
        <w:rPr>
          <w:rFonts w:cstheme="minorHAnsi"/>
          <w:b/>
          <w:i/>
          <w:sz w:val="28"/>
          <w:szCs w:val="28"/>
        </w:rPr>
        <w:t xml:space="preserve"> (2)</w:t>
      </w:r>
    </w:p>
    <w:p w14:paraId="54679318" w14:textId="3AB58E1C" w:rsidR="00677EAC" w:rsidRPr="009E4CBC" w:rsidRDefault="00677EAC" w:rsidP="00677EAC">
      <w:pPr>
        <w:spacing w:line="240" w:lineRule="auto"/>
        <w:jc w:val="center"/>
        <w:rPr>
          <w:rFonts w:cstheme="minorHAnsi"/>
          <w:b/>
          <w:i/>
          <w:sz w:val="28"/>
          <w:szCs w:val="28"/>
        </w:rPr>
      </w:pPr>
      <w:r>
        <w:rPr>
          <w:rFonts w:cstheme="minorHAnsi"/>
          <w:b/>
          <w:i/>
          <w:sz w:val="28"/>
          <w:szCs w:val="28"/>
        </w:rPr>
        <w:t>ZINNO</w:t>
      </w:r>
      <w:r w:rsidRPr="009E4CBC">
        <w:rPr>
          <w:rFonts w:cstheme="minorHAnsi"/>
          <w:b/>
          <w:i/>
          <w:sz w:val="28"/>
          <w:szCs w:val="28"/>
        </w:rPr>
        <w:t xml:space="preserve">, </w:t>
      </w:r>
      <w:r>
        <w:rPr>
          <w:rFonts w:cstheme="minorHAnsi"/>
          <w:b/>
          <w:i/>
          <w:sz w:val="28"/>
          <w:szCs w:val="28"/>
        </w:rPr>
        <w:t>Florencia B.</w:t>
      </w:r>
      <w:r w:rsidRPr="009E4CBC">
        <w:rPr>
          <w:rFonts w:cstheme="minorHAnsi"/>
          <w:b/>
          <w:i/>
          <w:sz w:val="28"/>
          <w:szCs w:val="28"/>
        </w:rPr>
        <w:t xml:space="preserve"> (2)</w:t>
      </w:r>
    </w:p>
    <w:p w14:paraId="2482E3D3" w14:textId="5D17B084" w:rsidR="00677EAC" w:rsidRDefault="00677EAC" w:rsidP="00677EAC">
      <w:pPr>
        <w:spacing w:line="240" w:lineRule="auto"/>
        <w:jc w:val="center"/>
        <w:rPr>
          <w:rFonts w:cstheme="minorHAnsi"/>
          <w:b/>
          <w:i/>
          <w:sz w:val="28"/>
          <w:szCs w:val="28"/>
        </w:rPr>
      </w:pPr>
      <w:r>
        <w:rPr>
          <w:rFonts w:cstheme="minorHAnsi"/>
          <w:b/>
          <w:i/>
          <w:sz w:val="28"/>
          <w:szCs w:val="28"/>
        </w:rPr>
        <w:t>TIBERI</w:t>
      </w:r>
      <w:r w:rsidRPr="009E4CBC">
        <w:rPr>
          <w:rFonts w:cstheme="minorHAnsi"/>
          <w:b/>
          <w:i/>
          <w:sz w:val="28"/>
          <w:szCs w:val="28"/>
        </w:rPr>
        <w:t xml:space="preserve">, </w:t>
      </w:r>
      <w:r>
        <w:rPr>
          <w:rFonts w:cstheme="minorHAnsi"/>
          <w:b/>
          <w:i/>
          <w:sz w:val="28"/>
          <w:szCs w:val="28"/>
        </w:rPr>
        <w:t>Sofía</w:t>
      </w:r>
      <w:r w:rsidRPr="009E4CBC">
        <w:rPr>
          <w:rFonts w:cstheme="minorHAnsi"/>
          <w:b/>
          <w:i/>
          <w:sz w:val="28"/>
          <w:szCs w:val="28"/>
        </w:rPr>
        <w:t xml:space="preserve"> (2)</w:t>
      </w:r>
    </w:p>
    <w:p w14:paraId="53A202EB" w14:textId="010048C9" w:rsidR="00677EAC" w:rsidRPr="009E4CBC" w:rsidRDefault="00677EAC" w:rsidP="00677EAC">
      <w:pPr>
        <w:spacing w:line="240" w:lineRule="auto"/>
        <w:jc w:val="center"/>
        <w:rPr>
          <w:rFonts w:cstheme="minorHAnsi"/>
          <w:b/>
          <w:i/>
          <w:sz w:val="28"/>
          <w:szCs w:val="28"/>
        </w:rPr>
      </w:pPr>
      <w:r>
        <w:rPr>
          <w:rFonts w:cstheme="minorHAnsi"/>
          <w:b/>
          <w:i/>
          <w:sz w:val="28"/>
          <w:szCs w:val="28"/>
        </w:rPr>
        <w:t>BOFF</w:t>
      </w:r>
      <w:r w:rsidRPr="009E4CBC">
        <w:rPr>
          <w:rFonts w:cstheme="minorHAnsi"/>
          <w:b/>
          <w:i/>
          <w:sz w:val="28"/>
          <w:szCs w:val="28"/>
        </w:rPr>
        <w:t xml:space="preserve">, </w:t>
      </w:r>
      <w:r>
        <w:rPr>
          <w:rFonts w:cstheme="minorHAnsi"/>
          <w:b/>
          <w:i/>
          <w:sz w:val="28"/>
          <w:szCs w:val="28"/>
        </w:rPr>
        <w:t>M</w:t>
      </w:r>
      <w:r w:rsidR="008A08D5">
        <w:rPr>
          <w:rFonts w:cstheme="minorHAnsi"/>
          <w:b/>
          <w:i/>
          <w:sz w:val="28"/>
          <w:szCs w:val="28"/>
        </w:rPr>
        <w:t>. Florencia</w:t>
      </w:r>
      <w:r w:rsidRPr="009E4CBC">
        <w:rPr>
          <w:rFonts w:cstheme="minorHAnsi"/>
          <w:b/>
          <w:i/>
          <w:sz w:val="28"/>
          <w:szCs w:val="28"/>
        </w:rPr>
        <w:t xml:space="preserve"> (2)</w:t>
      </w:r>
    </w:p>
    <w:p w14:paraId="650D940E" w14:textId="5FD94292" w:rsidR="007B64B0" w:rsidRDefault="00677EAC" w:rsidP="00677EAC">
      <w:pPr>
        <w:spacing w:line="240" w:lineRule="auto"/>
        <w:jc w:val="center"/>
        <w:rPr>
          <w:rFonts w:cstheme="minorHAnsi"/>
          <w:b/>
          <w:i/>
          <w:sz w:val="28"/>
          <w:szCs w:val="28"/>
        </w:rPr>
      </w:pPr>
      <w:r>
        <w:rPr>
          <w:rFonts w:cstheme="minorHAnsi"/>
          <w:b/>
          <w:i/>
          <w:sz w:val="28"/>
          <w:szCs w:val="28"/>
        </w:rPr>
        <w:t>DIMARTINO</w:t>
      </w:r>
      <w:r w:rsidRPr="009E4CBC">
        <w:rPr>
          <w:rFonts w:cstheme="minorHAnsi"/>
          <w:b/>
          <w:i/>
          <w:sz w:val="28"/>
          <w:szCs w:val="28"/>
        </w:rPr>
        <w:t xml:space="preserve">, </w:t>
      </w:r>
      <w:r>
        <w:rPr>
          <w:rFonts w:cstheme="minorHAnsi"/>
          <w:b/>
          <w:i/>
          <w:sz w:val="28"/>
          <w:szCs w:val="28"/>
        </w:rPr>
        <w:t>Camila A.</w:t>
      </w:r>
      <w:r w:rsidRPr="009E4CBC">
        <w:rPr>
          <w:rFonts w:cstheme="minorHAnsi"/>
          <w:b/>
          <w:i/>
          <w:sz w:val="28"/>
          <w:szCs w:val="28"/>
        </w:rPr>
        <w:t xml:space="preserve"> (2)</w:t>
      </w:r>
    </w:p>
    <w:p w14:paraId="2CDBCAD5" w14:textId="77777777" w:rsidR="00677EAC" w:rsidRPr="00677EAC" w:rsidRDefault="00677EAC" w:rsidP="00677EAC">
      <w:pPr>
        <w:spacing w:line="240" w:lineRule="auto"/>
        <w:jc w:val="center"/>
        <w:rPr>
          <w:rFonts w:cstheme="minorHAnsi"/>
          <w:b/>
          <w:i/>
          <w:sz w:val="28"/>
          <w:szCs w:val="28"/>
        </w:rPr>
      </w:pPr>
    </w:p>
    <w:p w14:paraId="54F5C54F" w14:textId="77777777" w:rsidR="007B64B0" w:rsidRPr="009E4CBC" w:rsidRDefault="007B64B0" w:rsidP="009E4CBC">
      <w:pPr>
        <w:spacing w:line="240" w:lineRule="auto"/>
        <w:jc w:val="center"/>
        <w:rPr>
          <w:rFonts w:cstheme="minorHAnsi"/>
          <w:b/>
          <w:i/>
          <w:sz w:val="28"/>
          <w:szCs w:val="28"/>
        </w:rPr>
      </w:pPr>
      <w:r w:rsidRPr="009E4CBC">
        <w:rPr>
          <w:rFonts w:cstheme="minorHAnsi"/>
          <w:b/>
          <w:i/>
          <w:sz w:val="28"/>
          <w:szCs w:val="28"/>
        </w:rPr>
        <w:t>(Centro de Estudios en Contabilidad Internacional – CECIN)</w:t>
      </w:r>
    </w:p>
    <w:p w14:paraId="739F5AF0" w14:textId="77777777" w:rsidR="007B64B0" w:rsidRPr="009E4CBC" w:rsidRDefault="007B64B0" w:rsidP="009E4CBC">
      <w:pPr>
        <w:spacing w:line="240" w:lineRule="auto"/>
        <w:jc w:val="center"/>
        <w:rPr>
          <w:rFonts w:cstheme="minorHAnsi"/>
          <w:b/>
          <w:i/>
          <w:sz w:val="28"/>
          <w:szCs w:val="28"/>
        </w:rPr>
      </w:pPr>
      <w:r w:rsidRPr="009E4CBC">
        <w:rPr>
          <w:rFonts w:cstheme="minorHAnsi"/>
          <w:b/>
          <w:i/>
          <w:sz w:val="28"/>
          <w:szCs w:val="28"/>
        </w:rPr>
        <w:t>cecin@econo.unlp.edu.ar</w:t>
      </w:r>
    </w:p>
    <w:p w14:paraId="437090F7" w14:textId="091E16E4" w:rsidR="007B64B0" w:rsidRPr="009E4CBC" w:rsidRDefault="007B64B0" w:rsidP="009E4CBC">
      <w:pPr>
        <w:spacing w:line="240" w:lineRule="auto"/>
        <w:jc w:val="center"/>
        <w:rPr>
          <w:rFonts w:cstheme="minorHAnsi"/>
          <w:b/>
          <w:i/>
        </w:rPr>
      </w:pPr>
      <w:r w:rsidRPr="009E4CBC" w:rsidDel="00FE2731">
        <w:rPr>
          <w:rFonts w:cstheme="minorHAnsi"/>
          <w:b/>
          <w:i/>
        </w:rPr>
        <w:t xml:space="preserve"> </w:t>
      </w:r>
      <w:r w:rsidRPr="009E4CBC">
        <w:rPr>
          <w:rFonts w:cstheme="minorHAnsi"/>
          <w:b/>
          <w:i/>
        </w:rPr>
        <w:t>(1)</w:t>
      </w:r>
      <w:r w:rsidRPr="009E4CBC">
        <w:rPr>
          <w:rFonts w:cstheme="minorHAnsi"/>
          <w:b/>
          <w:i/>
        </w:rPr>
        <w:tab/>
        <w:t>CECIN, Facultad de Ciencias Económicas, Universidad Nacional de La Plata</w:t>
      </w:r>
      <w:r w:rsidR="00B47085">
        <w:rPr>
          <w:rFonts w:cstheme="minorHAnsi"/>
          <w:b/>
          <w:i/>
        </w:rPr>
        <w:t xml:space="preserve"> – CICPBA</w:t>
      </w:r>
    </w:p>
    <w:p w14:paraId="50761D3C" w14:textId="098B7F36" w:rsidR="007B64B0" w:rsidRPr="009E4CBC" w:rsidRDefault="007B64B0" w:rsidP="009E4CBC">
      <w:pPr>
        <w:spacing w:line="240" w:lineRule="auto"/>
        <w:jc w:val="center"/>
        <w:rPr>
          <w:rFonts w:cstheme="minorHAnsi"/>
          <w:b/>
          <w:i/>
        </w:rPr>
      </w:pPr>
      <w:r w:rsidRPr="009E4CBC">
        <w:rPr>
          <w:rFonts w:cstheme="minorHAnsi"/>
          <w:b/>
          <w:i/>
        </w:rPr>
        <w:t>(2)</w:t>
      </w:r>
      <w:r w:rsidRPr="009E4CBC">
        <w:rPr>
          <w:rFonts w:cstheme="minorHAnsi"/>
          <w:b/>
          <w:i/>
        </w:rPr>
        <w:tab/>
        <w:t xml:space="preserve">CECIN, Facultad de Ciencias Económicas, Universidad Nacional de La Plata, Argentina </w:t>
      </w:r>
    </w:p>
    <w:p w14:paraId="5E4C67E7" w14:textId="77777777" w:rsidR="007B64B0" w:rsidRPr="009E4CBC" w:rsidRDefault="007B64B0" w:rsidP="009E4CBC">
      <w:pPr>
        <w:spacing w:line="240" w:lineRule="auto"/>
        <w:jc w:val="center"/>
        <w:rPr>
          <w:rFonts w:cstheme="minorHAnsi"/>
          <w:b/>
          <w:i/>
          <w:sz w:val="28"/>
          <w:szCs w:val="28"/>
        </w:rPr>
      </w:pPr>
      <w:r w:rsidRPr="009E4CBC">
        <w:rPr>
          <w:rFonts w:cstheme="minorHAnsi"/>
          <w:b/>
          <w:i/>
          <w:sz w:val="28"/>
          <w:szCs w:val="28"/>
        </w:rPr>
        <w:t>Facultad de Ciencias Económicas – UNLP</w:t>
      </w:r>
    </w:p>
    <w:p w14:paraId="601B64E4" w14:textId="60300081" w:rsidR="007B64B0" w:rsidRPr="00677EAC" w:rsidRDefault="007B64B0" w:rsidP="00677EAC">
      <w:pPr>
        <w:spacing w:line="240" w:lineRule="auto"/>
        <w:jc w:val="center"/>
        <w:rPr>
          <w:rFonts w:cstheme="minorHAnsi"/>
          <w:i/>
          <w:sz w:val="28"/>
          <w:szCs w:val="28"/>
        </w:rPr>
      </w:pPr>
      <w:r w:rsidRPr="009E4CBC">
        <w:rPr>
          <w:rFonts w:cstheme="minorHAnsi"/>
          <w:i/>
          <w:sz w:val="28"/>
          <w:szCs w:val="28"/>
        </w:rPr>
        <w:t xml:space="preserve">La Plata, 3 de </w:t>
      </w:r>
      <w:r w:rsidR="00677EAC" w:rsidRPr="009E4CBC">
        <w:rPr>
          <w:rFonts w:cstheme="minorHAnsi"/>
          <w:i/>
          <w:sz w:val="28"/>
          <w:szCs w:val="28"/>
        </w:rPr>
        <w:t>diciembre</w:t>
      </w:r>
      <w:r w:rsidRPr="009E4CBC">
        <w:rPr>
          <w:rFonts w:cstheme="minorHAnsi"/>
          <w:i/>
          <w:sz w:val="28"/>
          <w:szCs w:val="28"/>
        </w:rPr>
        <w:t xml:space="preserve"> de 2020</w:t>
      </w:r>
    </w:p>
    <w:p w14:paraId="404018D6" w14:textId="77777777" w:rsidR="006A0A6E" w:rsidRDefault="006A0A6E" w:rsidP="009E4CBC">
      <w:pPr>
        <w:spacing w:line="240" w:lineRule="auto"/>
        <w:rPr>
          <w:rFonts w:cstheme="minorHAnsi"/>
          <w:b/>
          <w:bCs/>
        </w:rPr>
      </w:pPr>
    </w:p>
    <w:p w14:paraId="42299B09" w14:textId="06FA028A" w:rsidR="00FA038A" w:rsidRPr="009E4CBC" w:rsidRDefault="007B64B0" w:rsidP="009E4CBC">
      <w:pPr>
        <w:spacing w:line="240" w:lineRule="auto"/>
        <w:rPr>
          <w:rFonts w:cstheme="minorHAnsi"/>
          <w:b/>
          <w:bCs/>
        </w:rPr>
      </w:pPr>
      <w:r w:rsidRPr="009E4CBC">
        <w:rPr>
          <w:rFonts w:cstheme="minorHAnsi"/>
          <w:b/>
          <w:bCs/>
        </w:rPr>
        <w:lastRenderedPageBreak/>
        <w:t>RESUMEN</w:t>
      </w:r>
    </w:p>
    <w:p w14:paraId="6FA37D2A" w14:textId="77777777" w:rsidR="0076266D" w:rsidRPr="009E4CBC" w:rsidRDefault="0076266D" w:rsidP="009E4CBC">
      <w:pPr>
        <w:spacing w:line="240" w:lineRule="auto"/>
        <w:rPr>
          <w:rFonts w:cstheme="minorHAnsi"/>
          <w:b/>
          <w:bCs/>
        </w:rPr>
      </w:pPr>
    </w:p>
    <w:p w14:paraId="5C0976C3" w14:textId="1394643E" w:rsidR="0076266D" w:rsidRPr="009E4CBC" w:rsidRDefault="00FA038A" w:rsidP="00BA4EAC">
      <w:pPr>
        <w:spacing w:line="240" w:lineRule="auto"/>
        <w:ind w:firstLine="709"/>
        <w:jc w:val="both"/>
        <w:rPr>
          <w:rFonts w:cstheme="minorHAnsi"/>
          <w:lang w:val="es-419"/>
        </w:rPr>
      </w:pPr>
      <w:r w:rsidRPr="009E4CBC">
        <w:rPr>
          <w:rFonts w:cstheme="minorHAnsi"/>
          <w:lang w:val="es-419"/>
        </w:rPr>
        <w:t>La estructura actual de los mercados mundiales hace deseable la combinación de las empresas en grupos económicos a partir de distintas ventajas inherentes a la integración horizontal o vertical. Es en este contexto y a partir de la necesidad de emitir información sobre estos grupos</w:t>
      </w:r>
      <w:r w:rsidR="002671F0" w:rsidRPr="009E4CBC">
        <w:rPr>
          <w:rFonts w:cstheme="minorHAnsi"/>
          <w:lang w:val="es-419"/>
        </w:rPr>
        <w:t>,</w:t>
      </w:r>
      <w:r w:rsidRPr="009E4CBC">
        <w:rPr>
          <w:rFonts w:cstheme="minorHAnsi"/>
          <w:lang w:val="es-419"/>
        </w:rPr>
        <w:t xml:space="preserve"> que la consolidación y conversión monetaria se </w:t>
      </w:r>
      <w:r w:rsidR="00B34537">
        <w:rPr>
          <w:rFonts w:cstheme="minorHAnsi"/>
          <w:lang w:val="es-419"/>
        </w:rPr>
        <w:t>transforman</w:t>
      </w:r>
      <w:r w:rsidRPr="009E4CBC">
        <w:rPr>
          <w:rFonts w:cstheme="minorHAnsi"/>
          <w:lang w:val="es-419"/>
        </w:rPr>
        <w:t xml:space="preserve"> en temas contables funda</w:t>
      </w:r>
      <w:r w:rsidR="002671F0" w:rsidRPr="009E4CBC">
        <w:rPr>
          <w:rFonts w:cstheme="minorHAnsi"/>
          <w:lang w:val="es-419"/>
        </w:rPr>
        <w:t>mentales</w:t>
      </w:r>
      <w:r w:rsidRPr="009E4CBC">
        <w:rPr>
          <w:rFonts w:cstheme="minorHAnsi"/>
          <w:lang w:val="es-419"/>
        </w:rPr>
        <w:t xml:space="preserve">. </w:t>
      </w:r>
    </w:p>
    <w:p w14:paraId="0FDB0325" w14:textId="46587ED2" w:rsidR="0076266D" w:rsidRPr="009E4CBC" w:rsidRDefault="00FA038A" w:rsidP="00BA4EAC">
      <w:pPr>
        <w:spacing w:line="240" w:lineRule="auto"/>
        <w:ind w:firstLine="709"/>
        <w:jc w:val="both"/>
        <w:rPr>
          <w:rFonts w:cstheme="minorHAnsi"/>
          <w:lang w:val="es-419"/>
        </w:rPr>
      </w:pPr>
      <w:r w:rsidRPr="009E4CBC">
        <w:rPr>
          <w:rFonts w:cstheme="minorHAnsi"/>
          <w:lang w:val="es-419"/>
        </w:rPr>
        <w:t>El prese</w:t>
      </w:r>
      <w:r w:rsidR="0076266D" w:rsidRPr="009E4CBC">
        <w:rPr>
          <w:rFonts w:cstheme="minorHAnsi"/>
          <w:lang w:val="es-419"/>
        </w:rPr>
        <w:t>nte trabajo propone realizar un abordaje del recorrido histórico de la regulación contable asociada al tratamiento de la conversión monetaria en distintos marcos normativos</w:t>
      </w:r>
      <w:r w:rsidR="00B47085">
        <w:rPr>
          <w:rFonts w:cstheme="minorHAnsi"/>
          <w:lang w:val="es-419"/>
        </w:rPr>
        <w:t>. Asimismo, se</w:t>
      </w:r>
      <w:r w:rsidR="0076266D" w:rsidRPr="009E4CBC">
        <w:rPr>
          <w:rFonts w:cstheme="minorHAnsi"/>
          <w:lang w:val="es-419"/>
        </w:rPr>
        <w:t xml:space="preserve"> busca caracterizar el contexto histórico en el cual se producen los cambios </w:t>
      </w:r>
      <w:r w:rsidR="00B47085">
        <w:rPr>
          <w:rFonts w:cstheme="minorHAnsi"/>
          <w:lang w:val="es-419"/>
        </w:rPr>
        <w:t>en la regulación contable</w:t>
      </w:r>
      <w:r w:rsidR="0076266D" w:rsidRPr="009E4CBC">
        <w:rPr>
          <w:rFonts w:cstheme="minorHAnsi"/>
          <w:lang w:val="es-419"/>
        </w:rPr>
        <w:t xml:space="preserve">. A tal fin, se realiza una revisión de literatura académica y un análisis de las diferentes normativas que regulan la conversión de los estados </w:t>
      </w:r>
      <w:r w:rsidR="00EA14D3">
        <w:rPr>
          <w:rFonts w:cstheme="minorHAnsi"/>
          <w:lang w:val="es-419"/>
        </w:rPr>
        <w:t>financiero</w:t>
      </w:r>
      <w:r w:rsidR="0076266D" w:rsidRPr="009E4CBC">
        <w:rPr>
          <w:rFonts w:cstheme="minorHAnsi"/>
          <w:lang w:val="es-419"/>
        </w:rPr>
        <w:t xml:space="preserve">s. </w:t>
      </w:r>
    </w:p>
    <w:p w14:paraId="4B212E3C" w14:textId="12B0E835" w:rsidR="00804D7D" w:rsidRPr="00804D7D" w:rsidRDefault="0076266D" w:rsidP="00804D7D">
      <w:pPr>
        <w:spacing w:line="240" w:lineRule="auto"/>
        <w:ind w:firstLine="709"/>
        <w:jc w:val="both"/>
        <w:rPr>
          <w:rFonts w:cstheme="minorHAnsi"/>
          <w:lang w:val="es-419"/>
        </w:rPr>
      </w:pPr>
      <w:r w:rsidRPr="0067769A">
        <w:rPr>
          <w:rFonts w:cstheme="minorHAnsi"/>
          <w:lang w:val="es-419"/>
        </w:rPr>
        <w:t xml:space="preserve">Los resultados demuestran </w:t>
      </w:r>
      <w:r w:rsidR="00804D7D" w:rsidRPr="00BC7F9A">
        <w:rPr>
          <w:rFonts w:cstheme="minorHAnsi"/>
          <w:lang w:val="es-419"/>
        </w:rPr>
        <w:t>la vinculación de la normativa con el contexto, así como los</w:t>
      </w:r>
      <w:r w:rsidR="00804D7D" w:rsidRPr="00804D7D">
        <w:rPr>
          <w:rFonts w:cstheme="minorHAnsi"/>
          <w:lang w:val="es-419"/>
        </w:rPr>
        <w:t xml:space="preserve"> intentos de convergencia internacional en una temática de gran relevancia</w:t>
      </w:r>
      <w:r w:rsidR="00804D7D">
        <w:rPr>
          <w:rFonts w:cstheme="minorHAnsi"/>
          <w:lang w:val="es-419"/>
        </w:rPr>
        <w:t xml:space="preserve"> como</w:t>
      </w:r>
      <w:r w:rsidR="00B47085">
        <w:rPr>
          <w:rFonts w:cstheme="minorHAnsi"/>
          <w:lang w:val="es-419"/>
        </w:rPr>
        <w:t xml:space="preserve"> lo es</w:t>
      </w:r>
      <w:r w:rsidR="00804D7D">
        <w:rPr>
          <w:rFonts w:cstheme="minorHAnsi"/>
          <w:lang w:val="es-419"/>
        </w:rPr>
        <w:t xml:space="preserve"> la conversión monetaria</w:t>
      </w:r>
      <w:r w:rsidR="00804D7D" w:rsidRPr="00804D7D">
        <w:rPr>
          <w:rFonts w:cstheme="minorHAnsi"/>
          <w:lang w:val="es-419"/>
        </w:rPr>
        <w:t xml:space="preserve"> a partir de la existencia de grupos económicos transnacionales.</w:t>
      </w:r>
      <w:r w:rsidR="00804D7D">
        <w:rPr>
          <w:rFonts w:cstheme="minorHAnsi"/>
          <w:lang w:val="es-419"/>
        </w:rPr>
        <w:t xml:space="preserve"> S</w:t>
      </w:r>
      <w:r w:rsidR="00804D7D" w:rsidRPr="00804D7D">
        <w:rPr>
          <w:rFonts w:cstheme="minorHAnsi"/>
          <w:lang w:val="es-419"/>
        </w:rPr>
        <w:t xml:space="preserve">i bien el FASB y el IASB han acercado sus marcos regulatorios, la República </w:t>
      </w:r>
      <w:r w:rsidR="00284668" w:rsidRPr="00804D7D">
        <w:rPr>
          <w:rFonts w:cstheme="minorHAnsi"/>
          <w:lang w:val="es-419"/>
        </w:rPr>
        <w:t>Argentina,</w:t>
      </w:r>
      <w:r w:rsidR="00804D7D" w:rsidRPr="00804D7D">
        <w:rPr>
          <w:rFonts w:cstheme="minorHAnsi"/>
          <w:lang w:val="es-419"/>
        </w:rPr>
        <w:t xml:space="preserve"> </w:t>
      </w:r>
      <w:r w:rsidR="00804D7D">
        <w:rPr>
          <w:rFonts w:cstheme="minorHAnsi"/>
          <w:lang w:val="es-419"/>
        </w:rPr>
        <w:t>aunque eligiendo</w:t>
      </w:r>
      <w:r w:rsidR="00804D7D" w:rsidRPr="00804D7D">
        <w:rPr>
          <w:rFonts w:cstheme="minorHAnsi"/>
          <w:lang w:val="es-419"/>
        </w:rPr>
        <w:t xml:space="preserve"> un proceso de armonización de sus normas contables con los estándares internacionales (NIC/</w:t>
      </w:r>
      <w:r w:rsidR="00804D7D" w:rsidRPr="004E37F7">
        <w:rPr>
          <w:rFonts w:cstheme="minorHAnsi"/>
          <w:lang w:val="es-419"/>
        </w:rPr>
        <w:t>NIIF), mantiene una diferencia</w:t>
      </w:r>
      <w:r w:rsidR="004E37F7">
        <w:rPr>
          <w:rFonts w:cstheme="minorHAnsi"/>
          <w:lang w:val="es-419"/>
        </w:rPr>
        <w:t>.</w:t>
      </w:r>
      <w:r w:rsidR="00804D7D" w:rsidRPr="004E37F7">
        <w:rPr>
          <w:rFonts w:cstheme="minorHAnsi"/>
          <w:lang w:val="es-419"/>
        </w:rPr>
        <w:t xml:space="preserve"> </w:t>
      </w:r>
    </w:p>
    <w:p w14:paraId="2675A2E8" w14:textId="62286992" w:rsidR="0076266D" w:rsidRPr="009E4CBC" w:rsidRDefault="0076266D" w:rsidP="009E4CBC">
      <w:pPr>
        <w:spacing w:line="240" w:lineRule="auto"/>
        <w:jc w:val="both"/>
        <w:rPr>
          <w:rFonts w:cstheme="minorHAnsi"/>
          <w:lang w:val="es-419"/>
        </w:rPr>
      </w:pPr>
      <w:r w:rsidRPr="009E4CBC">
        <w:rPr>
          <w:rFonts w:cstheme="minorHAnsi"/>
          <w:b/>
          <w:lang w:val="es-419"/>
        </w:rPr>
        <w:t>Palabras clave:</w:t>
      </w:r>
      <w:r w:rsidRPr="009E4CBC">
        <w:rPr>
          <w:rFonts w:cstheme="minorHAnsi"/>
          <w:lang w:val="es-419"/>
        </w:rPr>
        <w:t xml:space="preserve"> Conversión de estados </w:t>
      </w:r>
      <w:r w:rsidR="002671F0" w:rsidRPr="009E4CBC">
        <w:rPr>
          <w:rFonts w:cstheme="minorHAnsi"/>
          <w:lang w:val="es-419"/>
        </w:rPr>
        <w:t>financieros</w:t>
      </w:r>
      <w:r w:rsidRPr="009E4CBC">
        <w:rPr>
          <w:rFonts w:cstheme="minorHAnsi"/>
          <w:lang w:val="es-419"/>
        </w:rPr>
        <w:t>, Moneda extranjera, SFAS 52, NIC 21, Resolución Técnica 18</w:t>
      </w:r>
    </w:p>
    <w:p w14:paraId="396013B8" w14:textId="56D81810" w:rsidR="007B64B0" w:rsidRPr="009E4CBC" w:rsidRDefault="007B64B0" w:rsidP="009E4CBC">
      <w:pPr>
        <w:spacing w:line="240" w:lineRule="auto"/>
        <w:jc w:val="both"/>
        <w:rPr>
          <w:rFonts w:cstheme="minorHAnsi"/>
          <w:lang w:val="es-419"/>
        </w:rPr>
      </w:pPr>
    </w:p>
    <w:p w14:paraId="2DF6E3EB" w14:textId="77777777" w:rsidR="0076266D" w:rsidRPr="009E4CBC" w:rsidRDefault="0076266D" w:rsidP="00B10C99">
      <w:pPr>
        <w:spacing w:after="0" w:line="240" w:lineRule="auto"/>
        <w:jc w:val="both"/>
        <w:rPr>
          <w:rFonts w:cstheme="minorHAnsi"/>
          <w:lang w:val="es-419"/>
        </w:rPr>
      </w:pPr>
    </w:p>
    <w:p w14:paraId="18F38A18" w14:textId="42CFCFB4" w:rsidR="000419EB" w:rsidRPr="009E4CBC" w:rsidRDefault="000419EB" w:rsidP="00B10C99">
      <w:pPr>
        <w:pStyle w:val="Prrafodelista"/>
        <w:numPr>
          <w:ilvl w:val="0"/>
          <w:numId w:val="17"/>
        </w:numPr>
        <w:spacing w:after="0" w:line="240" w:lineRule="auto"/>
        <w:jc w:val="both"/>
        <w:rPr>
          <w:rFonts w:cstheme="minorHAnsi"/>
          <w:b/>
          <w:bCs/>
        </w:rPr>
      </w:pPr>
      <w:r w:rsidRPr="009E4CBC">
        <w:rPr>
          <w:rFonts w:cstheme="minorHAnsi"/>
          <w:b/>
          <w:bCs/>
        </w:rPr>
        <w:t>INTRODUCCIÓN</w:t>
      </w:r>
    </w:p>
    <w:p w14:paraId="4C6B134A" w14:textId="52A4773D" w:rsidR="007B64B0" w:rsidRDefault="007B64B0" w:rsidP="00B10C99">
      <w:pPr>
        <w:pStyle w:val="Prrafodelista"/>
        <w:spacing w:after="0" w:line="240" w:lineRule="auto"/>
        <w:jc w:val="both"/>
        <w:rPr>
          <w:rFonts w:cstheme="minorHAnsi"/>
          <w:b/>
          <w:bCs/>
        </w:rPr>
      </w:pPr>
    </w:p>
    <w:p w14:paraId="0A7F4E0F" w14:textId="77777777" w:rsidR="00CE4263" w:rsidRPr="009E4CBC" w:rsidRDefault="00CE4263" w:rsidP="00B10C99">
      <w:pPr>
        <w:pStyle w:val="Prrafodelista"/>
        <w:spacing w:after="0" w:line="240" w:lineRule="auto"/>
        <w:jc w:val="both"/>
        <w:rPr>
          <w:rFonts w:cstheme="minorHAnsi"/>
          <w:b/>
          <w:bCs/>
        </w:rPr>
      </w:pPr>
    </w:p>
    <w:p w14:paraId="11D2A3CB" w14:textId="3ED6687A" w:rsidR="00B47085" w:rsidRDefault="000419EB" w:rsidP="00B10C99">
      <w:pPr>
        <w:spacing w:line="240" w:lineRule="auto"/>
        <w:ind w:firstLine="709"/>
        <w:jc w:val="both"/>
        <w:rPr>
          <w:rFonts w:cstheme="minorHAnsi"/>
          <w:lang w:val="es-419"/>
        </w:rPr>
      </w:pPr>
      <w:r w:rsidRPr="009E4CBC">
        <w:rPr>
          <w:rFonts w:cstheme="minorHAnsi"/>
          <w:lang w:val="es-419"/>
        </w:rPr>
        <w:t>La estructura actual de los mercados mundiales hace deseable la combinación de las empresas en grupos económicos a partir de distintas ventajas inherentes a la integración horizontal o vertical, por ejemplo.</w:t>
      </w:r>
      <w:r w:rsidR="003214BD" w:rsidRPr="009E4CBC">
        <w:rPr>
          <w:rFonts w:cstheme="minorHAnsi"/>
          <w:lang w:val="es-419"/>
        </w:rPr>
        <w:t xml:space="preserve"> </w:t>
      </w:r>
      <w:r w:rsidRPr="009E4CBC">
        <w:rPr>
          <w:rFonts w:cstheme="minorHAnsi"/>
          <w:lang w:val="es-419"/>
        </w:rPr>
        <w:t>Es en este contexto y a partir de la necesidad de emitir información sobre estos grupos</w:t>
      </w:r>
      <w:r w:rsidR="002671F0" w:rsidRPr="009E4CBC">
        <w:rPr>
          <w:rFonts w:cstheme="minorHAnsi"/>
          <w:lang w:val="es-419"/>
        </w:rPr>
        <w:t>,</w:t>
      </w:r>
      <w:r w:rsidRPr="009E4CBC">
        <w:rPr>
          <w:rFonts w:cstheme="minorHAnsi"/>
          <w:lang w:val="es-419"/>
        </w:rPr>
        <w:t xml:space="preserve"> que la consolidación y conversión monetaria se </w:t>
      </w:r>
      <w:r w:rsidR="00CE4263">
        <w:rPr>
          <w:rFonts w:cstheme="minorHAnsi"/>
          <w:lang w:val="es-419"/>
        </w:rPr>
        <w:t>consideran</w:t>
      </w:r>
      <w:r w:rsidRPr="009E4CBC">
        <w:rPr>
          <w:rFonts w:cstheme="minorHAnsi"/>
          <w:lang w:val="es-419"/>
        </w:rPr>
        <w:t xml:space="preserve"> temas contables </w:t>
      </w:r>
      <w:r w:rsidR="002671F0" w:rsidRPr="009E4CBC">
        <w:rPr>
          <w:rFonts w:cstheme="minorHAnsi"/>
          <w:lang w:val="es-419"/>
        </w:rPr>
        <w:t>fundamentales</w:t>
      </w:r>
      <w:r w:rsidRPr="009E4CBC">
        <w:rPr>
          <w:rFonts w:cstheme="minorHAnsi"/>
          <w:lang w:val="es-419"/>
        </w:rPr>
        <w:t>.</w:t>
      </w:r>
      <w:r w:rsidR="008D513D">
        <w:rPr>
          <w:rFonts w:cstheme="minorHAnsi"/>
          <w:lang w:val="es-419"/>
        </w:rPr>
        <w:t xml:space="preserve"> </w:t>
      </w:r>
      <w:r w:rsidRPr="009E4CBC">
        <w:rPr>
          <w:rFonts w:cstheme="minorHAnsi"/>
          <w:lang w:val="es-419"/>
        </w:rPr>
        <w:t xml:space="preserve">La temática de la consolidación de estados contables se encuentra estrechamente relacionada con las decisiones de invertir, por parte del ente, en otra entidad (Barbei, </w:t>
      </w:r>
      <w:proofErr w:type="spellStart"/>
      <w:r w:rsidRPr="009E4CBC">
        <w:rPr>
          <w:rFonts w:cstheme="minorHAnsi"/>
          <w:lang w:val="es-419"/>
        </w:rPr>
        <w:t>Macciomei</w:t>
      </w:r>
      <w:proofErr w:type="spellEnd"/>
      <w:r w:rsidRPr="009E4CBC">
        <w:rPr>
          <w:rFonts w:cstheme="minorHAnsi"/>
          <w:lang w:val="es-419"/>
        </w:rPr>
        <w:t xml:space="preserve"> y </w:t>
      </w:r>
      <w:proofErr w:type="spellStart"/>
      <w:r w:rsidRPr="009E4CBC">
        <w:rPr>
          <w:rFonts w:cstheme="minorHAnsi"/>
          <w:lang w:val="es-419"/>
        </w:rPr>
        <w:t>Perez</w:t>
      </w:r>
      <w:proofErr w:type="spellEnd"/>
      <w:r w:rsidRPr="009E4CBC">
        <w:rPr>
          <w:rFonts w:cstheme="minorHAnsi"/>
          <w:lang w:val="es-419"/>
        </w:rPr>
        <w:t>, 2013</w:t>
      </w:r>
      <w:r w:rsidR="008D513D">
        <w:rPr>
          <w:rFonts w:cstheme="minorHAnsi"/>
          <w:lang w:val="es-419"/>
        </w:rPr>
        <w:t>)</w:t>
      </w:r>
      <w:r w:rsidR="00B47085">
        <w:rPr>
          <w:rFonts w:cstheme="minorHAnsi"/>
          <w:lang w:val="es-419"/>
        </w:rPr>
        <w:t>.</w:t>
      </w:r>
    </w:p>
    <w:p w14:paraId="232240AB" w14:textId="70B7797F" w:rsidR="00B47085" w:rsidRPr="009E4CBC" w:rsidRDefault="000419EB" w:rsidP="00B10C99">
      <w:pPr>
        <w:spacing w:line="240" w:lineRule="auto"/>
        <w:ind w:firstLine="709"/>
        <w:jc w:val="both"/>
        <w:rPr>
          <w:rFonts w:cstheme="minorHAnsi"/>
          <w:lang w:val="es-419"/>
        </w:rPr>
      </w:pPr>
      <w:r w:rsidRPr="009E4CBC">
        <w:rPr>
          <w:rFonts w:cstheme="minorHAnsi"/>
          <w:lang w:val="es-419"/>
        </w:rPr>
        <w:t xml:space="preserve">Dentro del proceso de consolidación, la conversión monetaria reviste un rol fundamental ya que permite que las operaciones de las empresas controladas sean convertidas a la moneda utilizada por la empresa controlante para lograr que las mismas queden medidas como si las hubiera realizado esta última. El logro de este objetivo dependerá, esencialmente, de la metodología de conversión utilizada. </w:t>
      </w:r>
    </w:p>
    <w:p w14:paraId="06FA4701" w14:textId="2D9D89AE" w:rsidR="00C84610" w:rsidRPr="009E4CBC" w:rsidRDefault="003214BD" w:rsidP="00B10C99">
      <w:pPr>
        <w:spacing w:line="240" w:lineRule="auto"/>
        <w:ind w:firstLine="709"/>
        <w:jc w:val="both"/>
        <w:rPr>
          <w:rFonts w:cstheme="minorHAnsi"/>
          <w:lang w:val="es-419"/>
        </w:rPr>
      </w:pPr>
      <w:r w:rsidRPr="009E4CBC">
        <w:rPr>
          <w:rFonts w:cstheme="minorHAnsi"/>
          <w:lang w:val="es-419"/>
        </w:rPr>
        <w:t xml:space="preserve">A partir de lo expuesto, es que </w:t>
      </w:r>
      <w:r w:rsidR="000419EB" w:rsidRPr="009E4CBC">
        <w:rPr>
          <w:rFonts w:cstheme="minorHAnsi"/>
          <w:lang w:val="es-419"/>
        </w:rPr>
        <w:t>surge la necesidad de realizar un recorrido histórico sobre regulación contable y literatura académica que han caracterizado el tratamiento de esta problemática para llegar a la situación actual.</w:t>
      </w:r>
    </w:p>
    <w:p w14:paraId="07E78F43" w14:textId="19A09446" w:rsidR="000419EB" w:rsidRPr="009E4CBC" w:rsidRDefault="000419EB" w:rsidP="009E4CBC">
      <w:pPr>
        <w:spacing w:line="240" w:lineRule="auto"/>
        <w:jc w:val="both"/>
        <w:rPr>
          <w:rFonts w:cstheme="minorHAnsi"/>
          <w:lang w:val="es-419"/>
        </w:rPr>
      </w:pPr>
    </w:p>
    <w:p w14:paraId="5A4E49B8" w14:textId="77777777" w:rsidR="002907AC" w:rsidRPr="009E4CBC" w:rsidRDefault="002907AC" w:rsidP="009E4CBC">
      <w:pPr>
        <w:spacing w:line="240" w:lineRule="auto"/>
        <w:jc w:val="both"/>
        <w:rPr>
          <w:rFonts w:cstheme="minorHAnsi"/>
          <w:lang w:val="es-419"/>
        </w:rPr>
      </w:pPr>
    </w:p>
    <w:p w14:paraId="3EA7850F" w14:textId="086F0A7D" w:rsidR="000419EB" w:rsidRPr="009E4CBC" w:rsidRDefault="000419EB" w:rsidP="009E4CBC">
      <w:pPr>
        <w:pStyle w:val="Prrafodelista"/>
        <w:numPr>
          <w:ilvl w:val="0"/>
          <w:numId w:val="17"/>
        </w:numPr>
        <w:spacing w:line="240" w:lineRule="auto"/>
        <w:jc w:val="both"/>
        <w:rPr>
          <w:rFonts w:cstheme="minorHAnsi"/>
          <w:b/>
          <w:bCs/>
        </w:rPr>
      </w:pPr>
      <w:r w:rsidRPr="009E4CBC">
        <w:rPr>
          <w:rFonts w:cstheme="minorHAnsi"/>
          <w:b/>
          <w:bCs/>
        </w:rPr>
        <w:t>OBJETIVOS</w:t>
      </w:r>
    </w:p>
    <w:p w14:paraId="26F20D71" w14:textId="77777777" w:rsidR="002907AC" w:rsidRPr="009E4CBC" w:rsidRDefault="002907AC" w:rsidP="009E4CBC">
      <w:pPr>
        <w:spacing w:line="240" w:lineRule="auto"/>
        <w:ind w:left="360"/>
        <w:jc w:val="both"/>
        <w:rPr>
          <w:rFonts w:cstheme="minorHAnsi"/>
          <w:b/>
          <w:bCs/>
        </w:rPr>
      </w:pPr>
    </w:p>
    <w:p w14:paraId="3BA86C89" w14:textId="77777777" w:rsidR="000419EB" w:rsidRPr="009E4CBC" w:rsidRDefault="000419EB" w:rsidP="009E4CBC">
      <w:pPr>
        <w:spacing w:line="240" w:lineRule="auto"/>
        <w:jc w:val="both"/>
        <w:rPr>
          <w:rFonts w:cstheme="minorHAnsi"/>
          <w:lang w:val="es-419"/>
        </w:rPr>
      </w:pPr>
      <w:r w:rsidRPr="009E4CBC">
        <w:rPr>
          <w:rFonts w:cstheme="minorHAnsi"/>
          <w:lang w:val="es-419"/>
        </w:rPr>
        <w:tab/>
        <w:t xml:space="preserve">El presente trabajo forma parte del proyecto de investigación titulado "Contabilidad e información: análisis de informes, características de las empresas emisoras y desarrollo de modelos de emisión de información” acreditado ante la Universidad Nacional de La Plata (Código E168). </w:t>
      </w:r>
    </w:p>
    <w:p w14:paraId="4758A6AD" w14:textId="0FB79BF3" w:rsidR="000419EB" w:rsidRPr="009E4CBC" w:rsidRDefault="000419EB" w:rsidP="009E4CBC">
      <w:pPr>
        <w:spacing w:line="240" w:lineRule="auto"/>
        <w:jc w:val="both"/>
        <w:rPr>
          <w:rFonts w:cstheme="minorHAnsi"/>
          <w:lang w:val="es-419"/>
        </w:rPr>
      </w:pPr>
      <w:r w:rsidRPr="009E4CBC">
        <w:rPr>
          <w:rFonts w:cstheme="minorHAnsi"/>
          <w:lang w:val="es-419"/>
        </w:rPr>
        <w:tab/>
      </w:r>
      <w:r w:rsidR="00B66D23" w:rsidRPr="009E4CBC">
        <w:rPr>
          <w:rFonts w:cstheme="minorHAnsi"/>
          <w:lang w:val="es-419"/>
        </w:rPr>
        <w:t>L</w:t>
      </w:r>
      <w:r w:rsidRPr="009E4CBC">
        <w:rPr>
          <w:rFonts w:cstheme="minorHAnsi"/>
          <w:lang w:val="es-419"/>
        </w:rPr>
        <w:t>os objetivos perseguidos en este trabajo se relacionan con:</w:t>
      </w:r>
    </w:p>
    <w:p w14:paraId="2EFF0BB2" w14:textId="77777777" w:rsidR="000419EB" w:rsidRPr="009E4CBC" w:rsidRDefault="000419EB" w:rsidP="00B10C99">
      <w:pPr>
        <w:pStyle w:val="Prrafodelista"/>
        <w:numPr>
          <w:ilvl w:val="0"/>
          <w:numId w:val="39"/>
        </w:numPr>
        <w:spacing w:line="240" w:lineRule="auto"/>
        <w:jc w:val="both"/>
        <w:rPr>
          <w:rFonts w:cstheme="minorHAnsi"/>
        </w:rPr>
      </w:pPr>
      <w:r w:rsidRPr="009E4CBC">
        <w:rPr>
          <w:rFonts w:cstheme="minorHAnsi"/>
        </w:rPr>
        <w:t>Abordar el recorrido histórico de la regulación contable asociada al tratamiento de la conversión monetaria en distintos marcos normativos.</w:t>
      </w:r>
    </w:p>
    <w:p w14:paraId="09708522" w14:textId="291DF914" w:rsidR="000419EB" w:rsidRPr="009E4CBC" w:rsidRDefault="000419EB" w:rsidP="00B10C99">
      <w:pPr>
        <w:pStyle w:val="Prrafodelista"/>
        <w:numPr>
          <w:ilvl w:val="0"/>
          <w:numId w:val="39"/>
        </w:numPr>
        <w:spacing w:line="240" w:lineRule="auto"/>
        <w:jc w:val="both"/>
        <w:rPr>
          <w:rFonts w:cstheme="minorHAnsi"/>
        </w:rPr>
      </w:pPr>
      <w:r w:rsidRPr="009E4CBC">
        <w:rPr>
          <w:rFonts w:cstheme="minorHAnsi"/>
        </w:rPr>
        <w:t xml:space="preserve">Caracterizar el contexto histórico en el cual se producen los cambios </w:t>
      </w:r>
      <w:r w:rsidR="007A3D5F">
        <w:rPr>
          <w:rFonts w:cstheme="minorHAnsi"/>
        </w:rPr>
        <w:t>de la regulación contable</w:t>
      </w:r>
      <w:r w:rsidRPr="009E4CBC">
        <w:rPr>
          <w:rFonts w:cstheme="minorHAnsi"/>
        </w:rPr>
        <w:t>.</w:t>
      </w:r>
    </w:p>
    <w:p w14:paraId="72820E1A" w14:textId="7DE93BF8" w:rsidR="000419EB" w:rsidRPr="009E4CBC" w:rsidRDefault="007A3D5F" w:rsidP="009E4CBC">
      <w:pPr>
        <w:spacing w:line="240" w:lineRule="auto"/>
        <w:ind w:firstLine="708"/>
        <w:jc w:val="both"/>
        <w:rPr>
          <w:rFonts w:cstheme="minorHAnsi"/>
          <w:lang w:val="es-419"/>
        </w:rPr>
      </w:pPr>
      <w:r>
        <w:rPr>
          <w:rFonts w:cstheme="minorHAnsi"/>
          <w:lang w:val="es-419"/>
        </w:rPr>
        <w:t>S</w:t>
      </w:r>
      <w:r w:rsidR="00AF1D95" w:rsidRPr="009E4CBC">
        <w:rPr>
          <w:rFonts w:cstheme="minorHAnsi"/>
          <w:lang w:val="es-419"/>
        </w:rPr>
        <w:t>e c</w:t>
      </w:r>
      <w:r w:rsidR="000419EB" w:rsidRPr="009E4CBC">
        <w:rPr>
          <w:rFonts w:cstheme="minorHAnsi"/>
          <w:lang w:val="es-419"/>
        </w:rPr>
        <w:t>onsidera que el análisis doctrinario y normativo de esta temática permitirá comprender uno de los principales impactos</w:t>
      </w:r>
      <w:r w:rsidR="00180175" w:rsidRPr="009E4CBC">
        <w:rPr>
          <w:rFonts w:cstheme="minorHAnsi"/>
          <w:lang w:val="es-419"/>
        </w:rPr>
        <w:t xml:space="preserve"> contables</w:t>
      </w:r>
      <w:r w:rsidR="000419EB" w:rsidRPr="009E4CBC">
        <w:rPr>
          <w:rFonts w:cstheme="minorHAnsi"/>
          <w:lang w:val="es-419"/>
        </w:rPr>
        <w:t xml:space="preserve"> asociados con la globalización de los negocios y el surgimiento de grupos económicos</w:t>
      </w:r>
      <w:r w:rsidR="00D17B34" w:rsidRPr="009E4CBC">
        <w:rPr>
          <w:rFonts w:cstheme="minorHAnsi"/>
          <w:lang w:val="es-419"/>
        </w:rPr>
        <w:t>.</w:t>
      </w:r>
    </w:p>
    <w:p w14:paraId="54D3065A" w14:textId="3363974F" w:rsidR="000419EB" w:rsidRPr="009E4CBC" w:rsidRDefault="000419EB" w:rsidP="009E4CBC">
      <w:pPr>
        <w:spacing w:line="240" w:lineRule="auto"/>
        <w:jc w:val="both"/>
        <w:rPr>
          <w:rFonts w:cstheme="minorHAnsi"/>
          <w:lang w:val="es-419"/>
        </w:rPr>
      </w:pPr>
    </w:p>
    <w:p w14:paraId="0EB08A91" w14:textId="77777777" w:rsidR="002907AC" w:rsidRPr="009E4CBC" w:rsidRDefault="002907AC" w:rsidP="009E4CBC">
      <w:pPr>
        <w:spacing w:line="240" w:lineRule="auto"/>
        <w:jc w:val="both"/>
        <w:rPr>
          <w:rFonts w:cstheme="minorHAnsi"/>
        </w:rPr>
      </w:pPr>
    </w:p>
    <w:p w14:paraId="05050344" w14:textId="2CC7A366" w:rsidR="00B3622F" w:rsidRPr="009E4CBC" w:rsidRDefault="00C84610" w:rsidP="00B34537">
      <w:pPr>
        <w:pStyle w:val="Ttulo1"/>
      </w:pPr>
      <w:r w:rsidRPr="009E4CBC">
        <w:t>DESARROLLO</w:t>
      </w:r>
    </w:p>
    <w:p w14:paraId="69D99DA5" w14:textId="77777777" w:rsidR="002907AC" w:rsidRPr="009E4CBC" w:rsidRDefault="002907AC" w:rsidP="009E4CBC">
      <w:pPr>
        <w:spacing w:line="240" w:lineRule="auto"/>
        <w:rPr>
          <w:rFonts w:cstheme="minorHAnsi"/>
        </w:rPr>
      </w:pPr>
    </w:p>
    <w:p w14:paraId="245E39F5" w14:textId="49BCE450" w:rsidR="000419EB" w:rsidRPr="009E4CBC" w:rsidRDefault="000419EB" w:rsidP="009E4CBC">
      <w:pPr>
        <w:spacing w:line="240" w:lineRule="auto"/>
        <w:ind w:firstLine="708"/>
        <w:jc w:val="both"/>
        <w:rPr>
          <w:rFonts w:cstheme="minorHAnsi"/>
        </w:rPr>
      </w:pPr>
      <w:r w:rsidRPr="009E4CBC">
        <w:rPr>
          <w:rFonts w:cstheme="minorHAnsi"/>
        </w:rPr>
        <w:t>Para realizar el recorrido histórico de las soluciones normativa</w:t>
      </w:r>
      <w:r w:rsidR="003214BD" w:rsidRPr="009E4CBC">
        <w:rPr>
          <w:rFonts w:cstheme="minorHAnsi"/>
        </w:rPr>
        <w:t>s</w:t>
      </w:r>
      <w:r w:rsidRPr="009E4CBC">
        <w:rPr>
          <w:rFonts w:cstheme="minorHAnsi"/>
        </w:rPr>
        <w:t xml:space="preserve"> a la conversión monetaria se</w:t>
      </w:r>
      <w:r w:rsidR="00D17B34" w:rsidRPr="009E4CBC">
        <w:rPr>
          <w:rFonts w:cstheme="minorHAnsi"/>
        </w:rPr>
        <w:t xml:space="preserve"> decide </w:t>
      </w:r>
      <w:r w:rsidRPr="009E4CBC">
        <w:rPr>
          <w:rFonts w:cstheme="minorHAnsi"/>
        </w:rPr>
        <w:t xml:space="preserve">iniciar por el marco regulatorio estadounidense que ha servido de inspiración para el ejercicio profesional y la emisión de normas contables en distintos países a lo largo del tiempo. Luego, se </w:t>
      </w:r>
      <w:r w:rsidR="00D17B34" w:rsidRPr="009E4CBC">
        <w:rPr>
          <w:rFonts w:cstheme="minorHAnsi"/>
        </w:rPr>
        <w:t>tratan</w:t>
      </w:r>
      <w:r w:rsidRPr="009E4CBC">
        <w:rPr>
          <w:rFonts w:cstheme="minorHAnsi"/>
        </w:rPr>
        <w:t xml:space="preserve"> las </w:t>
      </w:r>
      <w:r w:rsidR="00AF1D95" w:rsidRPr="009E4CBC">
        <w:rPr>
          <w:rFonts w:cstheme="minorHAnsi"/>
        </w:rPr>
        <w:t>normas contables internacionales</w:t>
      </w:r>
      <w:r w:rsidR="00F8524E" w:rsidRPr="009E4CBC">
        <w:rPr>
          <w:rFonts w:cstheme="minorHAnsi"/>
        </w:rPr>
        <w:t xml:space="preserve"> </w:t>
      </w:r>
      <w:r w:rsidRPr="009E4CBC">
        <w:rPr>
          <w:rFonts w:cstheme="minorHAnsi"/>
        </w:rPr>
        <w:t>(NIC/NIIF) que han supuesto una derivación del marco estadounidense para concluir con las normas contables</w:t>
      </w:r>
      <w:r w:rsidR="007B7A3B" w:rsidRPr="009E4CBC">
        <w:rPr>
          <w:rFonts w:cstheme="minorHAnsi"/>
        </w:rPr>
        <w:t xml:space="preserve"> profesionales</w:t>
      </w:r>
      <w:r w:rsidRPr="009E4CBC">
        <w:rPr>
          <w:rFonts w:cstheme="minorHAnsi"/>
        </w:rPr>
        <w:t xml:space="preserve"> argentinas</w:t>
      </w:r>
      <w:r w:rsidR="003214BD" w:rsidRPr="009E4CBC">
        <w:rPr>
          <w:rFonts w:cstheme="minorHAnsi"/>
        </w:rPr>
        <w:t>, las cuales difieren de las NIC/</w:t>
      </w:r>
      <w:r w:rsidR="0078329E" w:rsidRPr="009E4CBC">
        <w:rPr>
          <w:rFonts w:cstheme="minorHAnsi"/>
        </w:rPr>
        <w:t>NIIF,</w:t>
      </w:r>
      <w:r w:rsidR="003214BD" w:rsidRPr="009E4CBC">
        <w:rPr>
          <w:rFonts w:cstheme="minorHAnsi"/>
        </w:rPr>
        <w:t xml:space="preserve"> </w:t>
      </w:r>
      <w:r w:rsidR="007A3D5F">
        <w:rPr>
          <w:rFonts w:cstheme="minorHAnsi"/>
        </w:rPr>
        <w:t>aunque</w:t>
      </w:r>
      <w:r w:rsidR="007A3D5F" w:rsidRPr="009E4CBC">
        <w:rPr>
          <w:rFonts w:cstheme="minorHAnsi"/>
        </w:rPr>
        <w:t xml:space="preserve"> </w:t>
      </w:r>
      <w:r w:rsidR="007A3D5F">
        <w:rPr>
          <w:rFonts w:cstheme="minorHAnsi"/>
        </w:rPr>
        <w:t>presentan</w:t>
      </w:r>
      <w:r w:rsidRPr="009E4CBC">
        <w:rPr>
          <w:rFonts w:cstheme="minorHAnsi"/>
        </w:rPr>
        <w:t xml:space="preserve"> similitudes con el modelo internacional previo a 2003.</w:t>
      </w:r>
    </w:p>
    <w:p w14:paraId="3D378E1E" w14:textId="1753E0E1" w:rsidR="00751A22" w:rsidRPr="009E4CBC" w:rsidRDefault="00751A22" w:rsidP="009E4CBC">
      <w:pPr>
        <w:spacing w:line="240" w:lineRule="auto"/>
        <w:ind w:left="360"/>
        <w:rPr>
          <w:rFonts w:cstheme="minorHAnsi"/>
        </w:rPr>
      </w:pPr>
    </w:p>
    <w:p w14:paraId="3D1D027F" w14:textId="1E9C37F9" w:rsidR="00751A22" w:rsidRDefault="00B22348" w:rsidP="009E4CBC">
      <w:pPr>
        <w:pStyle w:val="Ttulo2"/>
        <w:spacing w:line="240" w:lineRule="auto"/>
        <w:rPr>
          <w:rFonts w:cstheme="minorHAnsi"/>
        </w:rPr>
      </w:pPr>
      <w:r>
        <w:rPr>
          <w:rFonts w:cstheme="minorHAnsi"/>
        </w:rPr>
        <w:t xml:space="preserve"> </w:t>
      </w:r>
      <w:r w:rsidR="00CB56AE" w:rsidRPr="009E4CBC">
        <w:rPr>
          <w:rFonts w:cstheme="minorHAnsi"/>
        </w:rPr>
        <w:t>R</w:t>
      </w:r>
      <w:r w:rsidR="00751A22" w:rsidRPr="009E4CBC">
        <w:rPr>
          <w:rFonts w:cstheme="minorHAnsi"/>
        </w:rPr>
        <w:t xml:space="preserve">egulación contable estadounidense </w:t>
      </w:r>
    </w:p>
    <w:p w14:paraId="64B8F775" w14:textId="77777777" w:rsidR="008E6337" w:rsidRPr="00B47085" w:rsidRDefault="008E6337" w:rsidP="00B10C99"/>
    <w:p w14:paraId="7977C300" w14:textId="1D6CFCAC" w:rsidR="00CB56AE" w:rsidRPr="009E4CBC" w:rsidRDefault="00CB56AE" w:rsidP="009E4CBC">
      <w:pPr>
        <w:pStyle w:val="Prrafodelista"/>
        <w:numPr>
          <w:ilvl w:val="2"/>
          <w:numId w:val="24"/>
        </w:numPr>
        <w:spacing w:line="240" w:lineRule="auto"/>
        <w:rPr>
          <w:rFonts w:cstheme="minorHAnsi"/>
          <w:b/>
        </w:rPr>
      </w:pPr>
      <w:r w:rsidRPr="009E4CBC">
        <w:rPr>
          <w:rFonts w:cstheme="minorHAnsi"/>
          <w:b/>
        </w:rPr>
        <w:t>Recorrido histórico: el camino hacia el SFAS 8</w:t>
      </w:r>
    </w:p>
    <w:p w14:paraId="1CF597C8" w14:textId="3B4A591C" w:rsidR="00751A22" w:rsidRPr="009E4CBC" w:rsidRDefault="00B61499" w:rsidP="009E4CBC">
      <w:pPr>
        <w:spacing w:line="240" w:lineRule="auto"/>
        <w:ind w:firstLine="708"/>
        <w:jc w:val="both"/>
        <w:rPr>
          <w:rFonts w:cstheme="minorHAnsi"/>
        </w:rPr>
      </w:pPr>
      <w:r w:rsidRPr="009E4CBC">
        <w:rPr>
          <w:rFonts w:cstheme="minorHAnsi"/>
        </w:rPr>
        <w:t>Según Lorensen (1972), l</w:t>
      </w:r>
      <w:r w:rsidR="00751A22" w:rsidRPr="009E4CBC">
        <w:rPr>
          <w:rFonts w:cstheme="minorHAnsi"/>
        </w:rPr>
        <w:t>as operaciones de las empresas estadounidenses en países extranjeros se incrementaron significativamente entre 1950 y 1970. En la década de</w:t>
      </w:r>
      <w:r w:rsidR="00B34537">
        <w:rPr>
          <w:rFonts w:cstheme="minorHAnsi"/>
        </w:rPr>
        <w:t>l</w:t>
      </w:r>
      <w:r w:rsidR="001D3436" w:rsidRPr="009E4CBC">
        <w:rPr>
          <w:rFonts w:cstheme="minorHAnsi"/>
        </w:rPr>
        <w:t xml:space="preserve"> </w:t>
      </w:r>
      <w:r w:rsidR="00751A22" w:rsidRPr="009E4CBC">
        <w:rPr>
          <w:rFonts w:cstheme="minorHAnsi"/>
        </w:rPr>
        <w:t xml:space="preserve">70, dado el contexto económico y los eventos que involucraron al sistema monetario internacional, las variaciones en los tipos de cambio tuvieron un gran impacto en los estados financieros y ello dejó en evidencia que los procedimientos existentes para convertir </w:t>
      </w:r>
      <w:r w:rsidR="001A58F7" w:rsidRPr="009E4CBC">
        <w:rPr>
          <w:rFonts w:cstheme="minorHAnsi"/>
        </w:rPr>
        <w:t>importes</w:t>
      </w:r>
      <w:r w:rsidR="00751A22" w:rsidRPr="009E4CBC">
        <w:rPr>
          <w:rFonts w:cstheme="minorHAnsi"/>
        </w:rPr>
        <w:t xml:space="preserve"> expresad</w:t>
      </w:r>
      <w:r w:rsidR="001A58F7" w:rsidRPr="009E4CBC">
        <w:rPr>
          <w:rFonts w:cstheme="minorHAnsi"/>
        </w:rPr>
        <w:t>o</w:t>
      </w:r>
      <w:r w:rsidR="00751A22" w:rsidRPr="009E4CBC">
        <w:rPr>
          <w:rFonts w:cstheme="minorHAnsi"/>
        </w:rPr>
        <w:t xml:space="preserve">s en moneda extranjera a dólares estadounidenses se habían desarrollado hace mucho tiempo y </w:t>
      </w:r>
      <w:proofErr w:type="gramStart"/>
      <w:r w:rsidR="001A58F7" w:rsidRPr="009E4CBC">
        <w:rPr>
          <w:rFonts w:cstheme="minorHAnsi"/>
        </w:rPr>
        <w:t>de acuerdo a</w:t>
      </w:r>
      <w:proofErr w:type="gramEnd"/>
      <w:r w:rsidR="00751A22" w:rsidRPr="009E4CBC">
        <w:rPr>
          <w:rFonts w:cstheme="minorHAnsi"/>
        </w:rPr>
        <w:t xml:space="preserve"> otras circunstancias. Ante ello, contadores y empresarios </w:t>
      </w:r>
      <w:r w:rsidR="00180175" w:rsidRPr="009E4CBC">
        <w:rPr>
          <w:rFonts w:cstheme="minorHAnsi"/>
        </w:rPr>
        <w:t>respondieron</w:t>
      </w:r>
      <w:r w:rsidR="00751A22" w:rsidRPr="009E4CBC">
        <w:rPr>
          <w:rFonts w:cstheme="minorHAnsi"/>
        </w:rPr>
        <w:t xml:space="preserve"> a esos eventos con una serie de propuestas ad hoc para cambiar la contabilidad, pero los mismos se</w:t>
      </w:r>
      <w:r w:rsidR="00180175" w:rsidRPr="009E4CBC">
        <w:rPr>
          <w:rFonts w:cstheme="minorHAnsi"/>
        </w:rPr>
        <w:t xml:space="preserve"> distinguieron</w:t>
      </w:r>
      <w:r w:rsidR="00751A22" w:rsidRPr="009E4CBC">
        <w:rPr>
          <w:rFonts w:cstheme="minorHAnsi"/>
        </w:rPr>
        <w:t xml:space="preserve"> más por producir resultados deseables que por un análisis exhaustivo o por la coherencia con las nociones básicas existentes de contabilidad</w:t>
      </w:r>
      <w:r w:rsidRPr="009E4CBC">
        <w:rPr>
          <w:rFonts w:cstheme="minorHAnsi"/>
        </w:rPr>
        <w:t>.</w:t>
      </w:r>
    </w:p>
    <w:p w14:paraId="14CC9EBD" w14:textId="16DE0923" w:rsidR="00751A22" w:rsidRPr="009E4CBC" w:rsidRDefault="00B61499" w:rsidP="009E4CBC">
      <w:pPr>
        <w:spacing w:line="240" w:lineRule="auto"/>
        <w:ind w:firstLine="708"/>
        <w:jc w:val="both"/>
        <w:rPr>
          <w:rFonts w:cstheme="minorHAnsi"/>
        </w:rPr>
      </w:pPr>
      <w:r w:rsidRPr="009E4CBC">
        <w:rPr>
          <w:rFonts w:cstheme="minorHAnsi"/>
        </w:rPr>
        <w:t>En</w:t>
      </w:r>
      <w:r w:rsidR="00751A22" w:rsidRPr="009E4CBC">
        <w:rPr>
          <w:rFonts w:cstheme="minorHAnsi"/>
        </w:rPr>
        <w:t xml:space="preserve"> esos tiempos, las empresas estadounidenses</w:t>
      </w:r>
      <w:r w:rsidR="00180175" w:rsidRPr="009E4CBC">
        <w:rPr>
          <w:rFonts w:cstheme="minorHAnsi"/>
        </w:rPr>
        <w:t xml:space="preserve"> </w:t>
      </w:r>
      <w:r w:rsidR="00751A22" w:rsidRPr="009E4CBC">
        <w:rPr>
          <w:rFonts w:cstheme="minorHAnsi"/>
        </w:rPr>
        <w:t>utiliza</w:t>
      </w:r>
      <w:r w:rsidR="00180175" w:rsidRPr="009E4CBC">
        <w:rPr>
          <w:rFonts w:cstheme="minorHAnsi"/>
        </w:rPr>
        <w:t>ban</w:t>
      </w:r>
      <w:r w:rsidR="00751A22" w:rsidRPr="009E4CBC">
        <w:rPr>
          <w:rFonts w:cstheme="minorHAnsi"/>
        </w:rPr>
        <w:t xml:space="preserve"> dos métodos alternativos de </w:t>
      </w:r>
      <w:r w:rsidR="00C05E27">
        <w:rPr>
          <w:rFonts w:cstheme="minorHAnsi"/>
        </w:rPr>
        <w:t>c</w:t>
      </w:r>
      <w:r w:rsidR="00751A22" w:rsidRPr="009E4CBC">
        <w:rPr>
          <w:rFonts w:cstheme="minorHAnsi"/>
        </w:rPr>
        <w:t>onversión en la práctica contable</w:t>
      </w:r>
      <w:r w:rsidR="001A58F7" w:rsidRPr="009E4CBC">
        <w:rPr>
          <w:rFonts w:cstheme="minorHAnsi"/>
        </w:rPr>
        <w:t>, u</w:t>
      </w:r>
      <w:r w:rsidR="00751A22" w:rsidRPr="009E4CBC">
        <w:rPr>
          <w:rFonts w:cstheme="minorHAnsi"/>
        </w:rPr>
        <w:t xml:space="preserve">no basado en la distinción entre activos y pasivos </w:t>
      </w:r>
      <w:r w:rsidR="00751A22" w:rsidRPr="009E4CBC">
        <w:rPr>
          <w:rFonts w:cstheme="minorHAnsi"/>
        </w:rPr>
        <w:lastRenderedPageBreak/>
        <w:t xml:space="preserve">corrientes y no corrientes; y el otro </w:t>
      </w:r>
      <w:r w:rsidR="001A58F7" w:rsidRPr="009E4CBC">
        <w:rPr>
          <w:rFonts w:cstheme="minorHAnsi"/>
        </w:rPr>
        <w:t>sustentado</w:t>
      </w:r>
      <w:r w:rsidR="00751A22" w:rsidRPr="009E4CBC">
        <w:rPr>
          <w:rFonts w:cstheme="minorHAnsi"/>
        </w:rPr>
        <w:t xml:space="preserve"> en la </w:t>
      </w:r>
      <w:r w:rsidR="00C052B7">
        <w:rPr>
          <w:rFonts w:cstheme="minorHAnsi"/>
        </w:rPr>
        <w:t>diferenciación</w:t>
      </w:r>
      <w:r w:rsidR="00C052B7" w:rsidRPr="009E4CBC">
        <w:rPr>
          <w:rFonts w:cstheme="minorHAnsi"/>
        </w:rPr>
        <w:t xml:space="preserve"> </w:t>
      </w:r>
      <w:r w:rsidR="00751A22" w:rsidRPr="009E4CBC">
        <w:rPr>
          <w:rFonts w:cstheme="minorHAnsi"/>
        </w:rPr>
        <w:t>entre activos y pasivos monetarios y no monetarios</w:t>
      </w:r>
      <w:r w:rsidRPr="009E4CBC">
        <w:rPr>
          <w:rFonts w:cstheme="minorHAnsi"/>
        </w:rPr>
        <w:t xml:space="preserve"> (Lorensen, 1972).</w:t>
      </w:r>
    </w:p>
    <w:p w14:paraId="08F26C4A" w14:textId="24AA49F3" w:rsidR="00751A22" w:rsidRPr="009E4CBC" w:rsidRDefault="00751A22" w:rsidP="009E4CBC">
      <w:pPr>
        <w:spacing w:line="240" w:lineRule="auto"/>
        <w:ind w:firstLine="708"/>
        <w:jc w:val="both"/>
        <w:rPr>
          <w:rFonts w:cstheme="minorHAnsi"/>
        </w:rPr>
      </w:pPr>
      <w:r w:rsidRPr="009E4CBC">
        <w:rPr>
          <w:rFonts w:cstheme="minorHAnsi"/>
        </w:rPr>
        <w:t xml:space="preserve">De acuerdo al </w:t>
      </w:r>
      <w:r w:rsidRPr="009E4CBC">
        <w:rPr>
          <w:rFonts w:cstheme="minorHAnsi"/>
          <w:bCs/>
        </w:rPr>
        <w:t>método de lo corriente-no corriente</w:t>
      </w:r>
      <w:r w:rsidRPr="009E4CBC">
        <w:rPr>
          <w:rFonts w:cstheme="minorHAnsi"/>
        </w:rPr>
        <w:t>,</w:t>
      </w:r>
      <w:r w:rsidR="00B61499" w:rsidRPr="009E4CBC">
        <w:rPr>
          <w:rFonts w:cstheme="minorHAnsi"/>
        </w:rPr>
        <w:t xml:space="preserve"> como indica Torres (2005)</w:t>
      </w:r>
      <w:r w:rsidRPr="009E4CBC">
        <w:rPr>
          <w:rFonts w:cstheme="minorHAnsi"/>
        </w:rPr>
        <w:t xml:space="preserve"> los activos y pasivos corrientes se convierten al tipo de cambio de cierre, mientras que el resto de los rubros se convierten al tipo de cambio histórico, es decir, el vigente a la fecha en que las partidas que los componen fueron registradas. Puede denotarse que la aplicación de tipos de cambio de cierre generaba así el reconocimiento de pérdidas por la inversión en moneda extranjera causadas por la devaluación. Lo mismo cabe razonar en sentido inverso, para el caso de una revalorización de la moneda de origen respecto de la de conversión, </w:t>
      </w:r>
      <w:r w:rsidR="001D3436" w:rsidRPr="009E4CBC">
        <w:rPr>
          <w:rFonts w:cstheme="minorHAnsi"/>
        </w:rPr>
        <w:t>aunque</w:t>
      </w:r>
      <w:r w:rsidRPr="009E4CBC">
        <w:rPr>
          <w:rFonts w:cstheme="minorHAnsi"/>
        </w:rPr>
        <w:t xml:space="preserve"> el método no fue propuesto para este último contexto.</w:t>
      </w:r>
    </w:p>
    <w:p w14:paraId="57310C20" w14:textId="18DCA246" w:rsidR="00751A22" w:rsidRPr="009E4CBC" w:rsidRDefault="00751A22" w:rsidP="009E4CBC">
      <w:pPr>
        <w:spacing w:line="240" w:lineRule="auto"/>
        <w:ind w:firstLine="708"/>
        <w:jc w:val="both"/>
        <w:rPr>
          <w:rFonts w:cstheme="minorHAnsi"/>
        </w:rPr>
      </w:pPr>
      <w:r w:rsidRPr="009E4CBC">
        <w:rPr>
          <w:rFonts w:cstheme="minorHAnsi"/>
        </w:rPr>
        <w:t xml:space="preserve">El método basado en la distinción </w:t>
      </w:r>
      <w:r w:rsidRPr="009E4CBC">
        <w:rPr>
          <w:rFonts w:cstheme="minorHAnsi"/>
          <w:bCs/>
        </w:rPr>
        <w:t>monetaria-no monetaria</w:t>
      </w:r>
      <w:r w:rsidRPr="009E4CBC">
        <w:rPr>
          <w:rFonts w:cstheme="minorHAnsi"/>
        </w:rPr>
        <w:t xml:space="preserve"> implica convertir los activos y pasivos monetarios de las subsidiarias extranjeras al tipo de cambio vigente a la fecha de cierre de los estados financieros, y convertir los activos y pasivos no monetarios al tipo de cambio histórico. </w:t>
      </w:r>
      <w:r w:rsidR="00B61499" w:rsidRPr="009E4CBC">
        <w:rPr>
          <w:rFonts w:cstheme="minorHAnsi"/>
        </w:rPr>
        <w:t xml:space="preserve">Samuel R. </w:t>
      </w:r>
      <w:r w:rsidRPr="009E4CBC">
        <w:rPr>
          <w:rFonts w:cstheme="minorHAnsi"/>
        </w:rPr>
        <w:t>Hepworth</w:t>
      </w:r>
      <w:r w:rsidR="00B61499" w:rsidRPr="009E4CBC">
        <w:rPr>
          <w:rFonts w:cstheme="minorHAnsi"/>
        </w:rPr>
        <w:t>, como indica Lorensen (1972),</w:t>
      </w:r>
      <w:r w:rsidRPr="009E4CBC">
        <w:rPr>
          <w:rFonts w:cstheme="minorHAnsi"/>
        </w:rPr>
        <w:t xml:space="preserve"> definió activos y pasivos de </w:t>
      </w:r>
      <w:r w:rsidRPr="00BC7F9A">
        <w:rPr>
          <w:rFonts w:cstheme="minorHAnsi"/>
          <w:i/>
          <w:iCs/>
        </w:rPr>
        <w:t>valor monetario</w:t>
      </w:r>
      <w:r w:rsidRPr="009E4CBC">
        <w:rPr>
          <w:rFonts w:cstheme="minorHAnsi"/>
        </w:rPr>
        <w:t xml:space="preserve"> como aquellos que representan un derecho contractual a recibir o pagar un número fijo de unidades de moneda extranjera, y activos y pasivos </w:t>
      </w:r>
      <w:r w:rsidRPr="00BC7F9A">
        <w:rPr>
          <w:rFonts w:cstheme="minorHAnsi"/>
          <w:i/>
          <w:iCs/>
        </w:rPr>
        <w:t>sin valor monetario</w:t>
      </w:r>
      <w:r w:rsidRPr="009E4CBC">
        <w:rPr>
          <w:rFonts w:cstheme="minorHAnsi"/>
        </w:rPr>
        <w:t xml:space="preserve"> como aquellos cuyo valor puede variar en términos de la unidad de moneda extranjera. </w:t>
      </w:r>
    </w:p>
    <w:p w14:paraId="0D84D974" w14:textId="79D8B9CB" w:rsidR="00457130" w:rsidRPr="009E4CBC" w:rsidRDefault="00751A22" w:rsidP="009E4CBC">
      <w:pPr>
        <w:spacing w:line="240" w:lineRule="auto"/>
        <w:ind w:firstLine="708"/>
        <w:jc w:val="both"/>
        <w:rPr>
          <w:rFonts w:cstheme="minorHAnsi"/>
        </w:rPr>
      </w:pPr>
      <w:r w:rsidRPr="009E4CBC">
        <w:rPr>
          <w:rFonts w:cstheme="minorHAnsi"/>
        </w:rPr>
        <w:t xml:space="preserve">El método corriente-no corriente es uno de los tradicionales y fue descrito y recomendado por primera vez por el </w:t>
      </w:r>
      <w:r w:rsidRPr="00BA4EAC">
        <w:rPr>
          <w:rFonts w:cstheme="minorHAnsi"/>
        </w:rPr>
        <w:t xml:space="preserve">American </w:t>
      </w:r>
      <w:proofErr w:type="spellStart"/>
      <w:r w:rsidRPr="00BA4EAC">
        <w:rPr>
          <w:rFonts w:cstheme="minorHAnsi"/>
        </w:rPr>
        <w:t>Institute</w:t>
      </w:r>
      <w:proofErr w:type="spellEnd"/>
      <w:r w:rsidRPr="00BA4EAC">
        <w:rPr>
          <w:rFonts w:cstheme="minorHAnsi"/>
        </w:rPr>
        <w:t xml:space="preserve"> </w:t>
      </w:r>
      <w:proofErr w:type="spellStart"/>
      <w:r w:rsidRPr="00BA4EAC">
        <w:rPr>
          <w:rFonts w:cstheme="minorHAnsi"/>
        </w:rPr>
        <w:t>of</w:t>
      </w:r>
      <w:proofErr w:type="spellEnd"/>
      <w:r w:rsidRPr="00BA4EAC">
        <w:rPr>
          <w:rFonts w:cstheme="minorHAnsi"/>
        </w:rPr>
        <w:t xml:space="preserve"> Certified </w:t>
      </w:r>
      <w:proofErr w:type="spellStart"/>
      <w:r w:rsidRPr="00BA4EAC">
        <w:rPr>
          <w:rFonts w:cstheme="minorHAnsi"/>
        </w:rPr>
        <w:t>Public</w:t>
      </w:r>
      <w:proofErr w:type="spellEnd"/>
      <w:r w:rsidRPr="00BA4EAC">
        <w:rPr>
          <w:rFonts w:cstheme="minorHAnsi"/>
        </w:rPr>
        <w:t xml:space="preserve"> </w:t>
      </w:r>
      <w:proofErr w:type="spellStart"/>
      <w:r w:rsidRPr="00BA4EAC">
        <w:rPr>
          <w:rFonts w:cstheme="minorHAnsi"/>
        </w:rPr>
        <w:t>Accountants</w:t>
      </w:r>
      <w:proofErr w:type="spellEnd"/>
      <w:r w:rsidRPr="00BA4EAC">
        <w:rPr>
          <w:rFonts w:cstheme="minorHAnsi"/>
        </w:rPr>
        <w:t xml:space="preserve"> (AICPA)</w:t>
      </w:r>
      <w:r w:rsidR="003F14CA" w:rsidRPr="00BA4EAC">
        <w:rPr>
          <w:rFonts w:cstheme="minorHAnsi"/>
        </w:rPr>
        <w:t>.</w:t>
      </w:r>
      <w:r w:rsidR="003F14CA" w:rsidRPr="009E4CBC" w:rsidDel="003F14CA">
        <w:rPr>
          <w:rFonts w:cstheme="minorHAnsi"/>
        </w:rPr>
        <w:t xml:space="preserve"> </w:t>
      </w:r>
      <w:r w:rsidRPr="009E4CBC">
        <w:rPr>
          <w:rFonts w:cstheme="minorHAnsi"/>
        </w:rPr>
        <w:t xml:space="preserve">Fue incluido en un informe emitido en 1931 por un comité especial de procedimiento contable, y también fue recomendado en otro informe del comité emitido en 1934, para tratar el problema de la conversión durante un período de condiciones inestables en los mercados de divisas. Dicho comité fue disuelto en 1938 y reemplazado por un comité de procedimiento contable, con autoridad para emitir pronunciamientos formales sobre principios contables. </w:t>
      </w:r>
    </w:p>
    <w:p w14:paraId="0FAB1F24" w14:textId="6E8FAF8B" w:rsidR="00751A22" w:rsidRPr="009E4CBC" w:rsidRDefault="00751A22" w:rsidP="009E4CBC">
      <w:pPr>
        <w:spacing w:line="240" w:lineRule="auto"/>
        <w:ind w:firstLine="708"/>
        <w:jc w:val="both"/>
        <w:rPr>
          <w:rFonts w:cstheme="minorHAnsi"/>
        </w:rPr>
      </w:pPr>
      <w:r w:rsidRPr="009E4CBC">
        <w:rPr>
          <w:rFonts w:cstheme="minorHAnsi"/>
        </w:rPr>
        <w:t xml:space="preserve">El Accounting Research Bulletin No. 4 (ARB), </w:t>
      </w:r>
      <w:r w:rsidRPr="009E4CBC">
        <w:rPr>
          <w:rFonts w:cstheme="minorHAnsi"/>
          <w:i/>
          <w:iCs/>
        </w:rPr>
        <w:t>Operaciones en el extranjero y cambio de divisas</w:t>
      </w:r>
      <w:r w:rsidRPr="009E4CBC">
        <w:rPr>
          <w:rFonts w:cstheme="minorHAnsi"/>
        </w:rPr>
        <w:t xml:space="preserve">, publicado en 1939, fue uno de los primeros pronunciamientos del comité y repitió sustancialmente las recomendaciones anteriores del comité especial con énfasis en la conveniencia de prácticas conservadoras en el reporte de utilidades y la consolidación de subsidiarias extranjeras. </w:t>
      </w:r>
      <w:r w:rsidR="00B47085">
        <w:rPr>
          <w:rFonts w:cstheme="minorHAnsi"/>
        </w:rPr>
        <w:t>E</w:t>
      </w:r>
      <w:r w:rsidRPr="009E4CBC">
        <w:rPr>
          <w:rFonts w:cstheme="minorHAnsi"/>
        </w:rPr>
        <w:t xml:space="preserve">n 1950, el Departamento de Investigación del AICPA publicó un memorando que trataba los efectos en la conversión, la política de consolidación y la presentación de declaraciones de las devaluaciones sustanciales y generalizadas del dinero de muchos países en 1949. En 1953 se emitió el pronunciamiento ARB 43, Capítulo 12 “Operaciones en el exterior y cambio de divisas”, y </w:t>
      </w:r>
      <w:r w:rsidR="001A58F7" w:rsidRPr="009E4CBC">
        <w:rPr>
          <w:rFonts w:cstheme="minorHAnsi"/>
        </w:rPr>
        <w:t>se trató de</w:t>
      </w:r>
      <w:r w:rsidRPr="009E4CBC">
        <w:rPr>
          <w:rFonts w:cstheme="minorHAnsi"/>
        </w:rPr>
        <w:t xml:space="preserve"> una reformulación de</w:t>
      </w:r>
      <w:r w:rsidR="001A58F7" w:rsidRPr="009E4CBC">
        <w:rPr>
          <w:rFonts w:cstheme="minorHAnsi"/>
        </w:rPr>
        <w:t>l</w:t>
      </w:r>
      <w:r w:rsidRPr="009E4CBC">
        <w:rPr>
          <w:rFonts w:cstheme="minorHAnsi"/>
        </w:rPr>
        <w:t xml:space="preserve"> ARB 4 complementada por el memorando de 1950. Los procedimientos recomendados para convertir las cuentas por cobrar y por pagar a largo plazo se modificaron en octubre de 1965 y constituyeron la ARB 43 modificada.</w:t>
      </w:r>
    </w:p>
    <w:p w14:paraId="62E25B02" w14:textId="7034EC77" w:rsidR="00751A22" w:rsidRPr="009E4CBC" w:rsidRDefault="003F1C28" w:rsidP="009E4CBC">
      <w:pPr>
        <w:spacing w:line="240" w:lineRule="auto"/>
        <w:ind w:firstLine="709"/>
        <w:jc w:val="both"/>
        <w:rPr>
          <w:rFonts w:cstheme="minorHAnsi"/>
        </w:rPr>
      </w:pPr>
      <w:r w:rsidRPr="009E4CBC">
        <w:rPr>
          <w:rFonts w:cstheme="minorHAnsi"/>
        </w:rPr>
        <w:t>C</w:t>
      </w:r>
      <w:r w:rsidR="00B61499" w:rsidRPr="009E4CBC">
        <w:rPr>
          <w:rFonts w:cstheme="minorHAnsi"/>
        </w:rPr>
        <w:t>omo afirma Lorensen (1972),</w:t>
      </w:r>
      <w:r w:rsidR="00751A22" w:rsidRPr="009E4CBC">
        <w:rPr>
          <w:rFonts w:cstheme="minorHAnsi"/>
        </w:rPr>
        <w:t xml:space="preserve"> </w:t>
      </w:r>
      <w:r w:rsidRPr="009E4CBC">
        <w:rPr>
          <w:rFonts w:cstheme="minorHAnsi"/>
        </w:rPr>
        <w:t xml:space="preserve">Hepworth </w:t>
      </w:r>
      <w:r w:rsidR="00751A22" w:rsidRPr="009E4CBC">
        <w:rPr>
          <w:rFonts w:cstheme="minorHAnsi"/>
        </w:rPr>
        <w:t xml:space="preserve">fue un pionero en recomendar cambios en los anticuados procedimientos de conversión que </w:t>
      </w:r>
      <w:r w:rsidR="006A0A6E">
        <w:rPr>
          <w:rFonts w:cstheme="minorHAnsi"/>
        </w:rPr>
        <w:t xml:space="preserve">surgieron </w:t>
      </w:r>
      <w:r w:rsidR="00751A22" w:rsidRPr="009E4CBC">
        <w:rPr>
          <w:rFonts w:cstheme="minorHAnsi"/>
        </w:rPr>
        <w:t>antes de la Segunda Guerra Mundial</w:t>
      </w:r>
      <w:r w:rsidR="001A58F7" w:rsidRPr="009E4CBC">
        <w:rPr>
          <w:rFonts w:cstheme="minorHAnsi"/>
        </w:rPr>
        <w:t xml:space="preserve"> y</w:t>
      </w:r>
      <w:r w:rsidRPr="009E4CBC">
        <w:rPr>
          <w:rFonts w:cstheme="minorHAnsi"/>
        </w:rPr>
        <w:t xml:space="preserve"> </w:t>
      </w:r>
      <w:r w:rsidR="001A58F7" w:rsidRPr="009E4CBC">
        <w:rPr>
          <w:rFonts w:cstheme="minorHAnsi"/>
        </w:rPr>
        <w:t>d</w:t>
      </w:r>
      <w:r w:rsidR="00751A22" w:rsidRPr="009E4CBC">
        <w:rPr>
          <w:rFonts w:cstheme="minorHAnsi"/>
        </w:rPr>
        <w:t xml:space="preserve">esarrolló el método de conversión basado en la distinción entre activos y pasivos monetarios y no monetarios, publicando su trabajo en 1956. El mérito de su desarrollo probablemente se atribuya con mayor frecuencia a un informe de investigación publicado en 1960 por la </w:t>
      </w:r>
      <w:proofErr w:type="spellStart"/>
      <w:r w:rsidR="00751A22" w:rsidRPr="00BA4EAC">
        <w:rPr>
          <w:rFonts w:cstheme="minorHAnsi"/>
        </w:rPr>
        <w:t>National</w:t>
      </w:r>
      <w:proofErr w:type="spellEnd"/>
      <w:r w:rsidR="00751A22" w:rsidRPr="00BA4EAC">
        <w:rPr>
          <w:rFonts w:cstheme="minorHAnsi"/>
        </w:rPr>
        <w:t xml:space="preserve"> </w:t>
      </w:r>
      <w:proofErr w:type="spellStart"/>
      <w:r w:rsidR="00751A22" w:rsidRPr="00BA4EAC">
        <w:rPr>
          <w:rFonts w:cstheme="minorHAnsi"/>
        </w:rPr>
        <w:t>Association</w:t>
      </w:r>
      <w:proofErr w:type="spellEnd"/>
      <w:r w:rsidR="00751A22" w:rsidRPr="00BA4EAC">
        <w:rPr>
          <w:rFonts w:cstheme="minorHAnsi"/>
        </w:rPr>
        <w:t xml:space="preserve"> </w:t>
      </w:r>
      <w:proofErr w:type="spellStart"/>
      <w:r w:rsidR="00751A22" w:rsidRPr="00BA4EAC">
        <w:rPr>
          <w:rFonts w:cstheme="minorHAnsi"/>
        </w:rPr>
        <w:t>of</w:t>
      </w:r>
      <w:proofErr w:type="spellEnd"/>
      <w:r w:rsidR="00751A22" w:rsidRPr="00BA4EAC">
        <w:rPr>
          <w:rFonts w:cstheme="minorHAnsi"/>
        </w:rPr>
        <w:t xml:space="preserve"> </w:t>
      </w:r>
      <w:proofErr w:type="spellStart"/>
      <w:r w:rsidR="00751A22" w:rsidRPr="00BA4EAC">
        <w:rPr>
          <w:rFonts w:cstheme="minorHAnsi"/>
        </w:rPr>
        <w:t>Accountants</w:t>
      </w:r>
      <w:proofErr w:type="spellEnd"/>
      <w:r w:rsidR="00751A22" w:rsidRPr="00BA4EAC">
        <w:rPr>
          <w:rFonts w:cstheme="minorHAnsi"/>
        </w:rPr>
        <w:t xml:space="preserve"> (NAA</w:t>
      </w:r>
      <w:r w:rsidR="00751A22" w:rsidRPr="009E4CBC">
        <w:rPr>
          <w:rFonts w:cstheme="minorHAnsi"/>
        </w:rPr>
        <w:t>). La defensa del método monetario-no monetario por parte de la NAA dio un impulso considerable a su uso en la práctica. Una revisión de los informes anuales publicados por la División de Investigación Contable del AICPA reveló que en el momento en que se publicó el informe de la NAA, la mayoría de las empresas seguían el método corriente-no corriente, pero desde entonces se desarrolló una tendencia a no utilizar</w:t>
      </w:r>
      <w:r w:rsidR="001D3436" w:rsidRPr="009E4CBC">
        <w:rPr>
          <w:rFonts w:cstheme="minorHAnsi"/>
        </w:rPr>
        <w:t>lo</w:t>
      </w:r>
      <w:r w:rsidR="00751A22" w:rsidRPr="009E4CBC">
        <w:rPr>
          <w:rFonts w:cstheme="minorHAnsi"/>
        </w:rPr>
        <w:t>.</w:t>
      </w:r>
      <w:r w:rsidR="001A58F7" w:rsidRPr="009E4CBC">
        <w:rPr>
          <w:rFonts w:cstheme="minorHAnsi"/>
        </w:rPr>
        <w:t xml:space="preserve"> </w:t>
      </w:r>
      <w:r w:rsidR="00751A22" w:rsidRPr="009E4CBC">
        <w:rPr>
          <w:rFonts w:cstheme="minorHAnsi"/>
        </w:rPr>
        <w:t xml:space="preserve">Hepworth para 1967, momento de su muerte, había terminado un primer </w:t>
      </w:r>
      <w:r w:rsidR="00751A22" w:rsidRPr="009E4CBC">
        <w:rPr>
          <w:rFonts w:cstheme="minorHAnsi"/>
        </w:rPr>
        <w:lastRenderedPageBreak/>
        <w:t xml:space="preserve">borrador de este estudio de investigación contable, que, si bien tenía debilidades conceptuales para la conversión, sentó una base sólida para </w:t>
      </w:r>
      <w:r w:rsidR="001A58F7" w:rsidRPr="009E4CBC">
        <w:rPr>
          <w:rFonts w:cstheme="minorHAnsi"/>
        </w:rPr>
        <w:t>los avances futuros</w:t>
      </w:r>
      <w:r w:rsidR="00751A22" w:rsidRPr="009E4CBC">
        <w:rPr>
          <w:rFonts w:cstheme="minorHAnsi"/>
        </w:rPr>
        <w:t xml:space="preserve">. </w:t>
      </w:r>
    </w:p>
    <w:p w14:paraId="20CA4B39" w14:textId="7F1310C9" w:rsidR="00751A22" w:rsidRPr="009E4CBC" w:rsidRDefault="00751A22" w:rsidP="009E4CBC">
      <w:pPr>
        <w:spacing w:line="240" w:lineRule="auto"/>
        <w:ind w:firstLine="708"/>
        <w:jc w:val="both"/>
        <w:rPr>
          <w:rFonts w:cstheme="minorHAnsi"/>
        </w:rPr>
      </w:pPr>
      <w:r w:rsidRPr="009E4CBC">
        <w:rPr>
          <w:rFonts w:cstheme="minorHAnsi"/>
        </w:rPr>
        <w:t xml:space="preserve">Los desarrolladores del método monetario-no monetario hicieron una contribución significativa a la práctica de conversión al observar que los activos y pasivos monetarios se </w:t>
      </w:r>
      <w:r w:rsidR="006A0A6E">
        <w:rPr>
          <w:rFonts w:cstheme="minorHAnsi"/>
        </w:rPr>
        <w:t>conv</w:t>
      </w:r>
      <w:r w:rsidR="00B10C99">
        <w:rPr>
          <w:rFonts w:cstheme="minorHAnsi"/>
        </w:rPr>
        <w:t>ierten</w:t>
      </w:r>
      <w:r w:rsidR="006A0A6E">
        <w:rPr>
          <w:rFonts w:cstheme="minorHAnsi"/>
        </w:rPr>
        <w:t xml:space="preserve"> </w:t>
      </w:r>
      <w:r w:rsidRPr="009E4CBC">
        <w:rPr>
          <w:rFonts w:cstheme="minorHAnsi"/>
        </w:rPr>
        <w:t>de manera más razonable al tipo de cambio de cierre en lugar del tipo de cambio histórico, independientemente de si se clasifican como corrientes o no corrientes. Sin embargo, un principio integral de conversión no puede derivarse únicamente de la distinción monetaria-no monetaria. Una razón es que muchos activos y pasivos tienen características tanto monetarias como no monetarias y otra es que los activos y pasivos no monetarios se miden sobre más de una base y la conversión a un tipo de cambio histórico no se ajusta a todas las bases, ya que produce resultados razonables si las partidas se expresan al costo histórico en moneda extranjera, pero no si se expresan al valor corriente de mercado en moneda extranjera</w:t>
      </w:r>
      <w:r w:rsidR="005A311D" w:rsidRPr="009E4CBC">
        <w:rPr>
          <w:rFonts w:cstheme="minorHAnsi"/>
        </w:rPr>
        <w:t xml:space="preserve"> (Torres, 2005)</w:t>
      </w:r>
      <w:r w:rsidRPr="009E4CBC">
        <w:rPr>
          <w:rFonts w:cstheme="minorHAnsi"/>
        </w:rPr>
        <w:t>.</w:t>
      </w:r>
    </w:p>
    <w:p w14:paraId="0BB487FA" w14:textId="2100B5A1" w:rsidR="00751A22" w:rsidRPr="009E4CBC" w:rsidRDefault="00751A22" w:rsidP="009E4CBC">
      <w:pPr>
        <w:spacing w:line="240" w:lineRule="auto"/>
        <w:ind w:firstLine="708"/>
        <w:jc w:val="both"/>
        <w:rPr>
          <w:rFonts w:cstheme="minorHAnsi"/>
        </w:rPr>
      </w:pPr>
      <w:r w:rsidRPr="009E4CBC">
        <w:rPr>
          <w:rFonts w:cstheme="minorHAnsi"/>
        </w:rPr>
        <w:t xml:space="preserve">Para los años 70, la práctica de la conversión era en gran parte una mezcla de los métodos monetario-no monetario y corriente-no corriente. Algunas empresas utilizaban cualquiera de los métodos sin modificar, mientras que otras empresas </w:t>
      </w:r>
      <w:r w:rsidR="001A58F7" w:rsidRPr="009E4CBC">
        <w:rPr>
          <w:rFonts w:cstheme="minorHAnsi"/>
        </w:rPr>
        <w:t>integraban</w:t>
      </w:r>
      <w:r w:rsidRPr="009E4CBC">
        <w:rPr>
          <w:rFonts w:cstheme="minorHAnsi"/>
        </w:rPr>
        <w:t xml:space="preserve"> los procedimientos de conversión de ambos métodos en el mismo conjunto de estados financieros.</w:t>
      </w:r>
    </w:p>
    <w:p w14:paraId="27D13320" w14:textId="1977DFA4" w:rsidR="00751A22" w:rsidRPr="009E4CBC" w:rsidRDefault="00751A22" w:rsidP="009E4CBC">
      <w:pPr>
        <w:spacing w:line="240" w:lineRule="auto"/>
        <w:ind w:firstLine="708"/>
        <w:jc w:val="both"/>
        <w:rPr>
          <w:rFonts w:cstheme="minorHAnsi"/>
        </w:rPr>
      </w:pPr>
      <w:r w:rsidRPr="009E4CBC">
        <w:rPr>
          <w:rFonts w:cstheme="minorHAnsi"/>
        </w:rPr>
        <w:t>Leonard Lorensen completó el estudio de Hepworth. Observó lagunas teóricas en el método monetario-no monetario, y esas ideas lo llevaron al principio temporal que no es solo un nuevo nombre para el método monetario-no monetario, sino que surge de conclusiones clave</w:t>
      </w:r>
      <w:r w:rsidR="001A58F7" w:rsidRPr="009E4CBC">
        <w:rPr>
          <w:rFonts w:cstheme="minorHAnsi"/>
        </w:rPr>
        <w:t>s</w:t>
      </w:r>
      <w:r w:rsidRPr="009E4CBC">
        <w:rPr>
          <w:rFonts w:cstheme="minorHAnsi"/>
        </w:rPr>
        <w:t xml:space="preserve"> sobre la naturaleza de la contabilidad y el proceso de conversión. El estudio de Lorensen fue publicado en 1972, año en el cual los procedimientos para emitir pronunciamientos sobre principios o normas contables estaban en transición, pero el director de la </w:t>
      </w:r>
      <w:r w:rsidRPr="00BA4EAC">
        <w:rPr>
          <w:rFonts w:cstheme="minorHAnsi"/>
        </w:rPr>
        <w:t xml:space="preserve">revista </w:t>
      </w:r>
      <w:proofErr w:type="spellStart"/>
      <w:r w:rsidRPr="00BA4EAC">
        <w:rPr>
          <w:rFonts w:cstheme="minorHAnsi"/>
          <w:i/>
        </w:rPr>
        <w:t>Accounting</w:t>
      </w:r>
      <w:proofErr w:type="spellEnd"/>
      <w:r w:rsidRPr="00BA4EAC">
        <w:rPr>
          <w:rFonts w:cstheme="minorHAnsi"/>
          <w:i/>
        </w:rPr>
        <w:t xml:space="preserve"> </w:t>
      </w:r>
      <w:proofErr w:type="spellStart"/>
      <w:r w:rsidRPr="00BA4EAC">
        <w:rPr>
          <w:rFonts w:cstheme="minorHAnsi"/>
          <w:i/>
        </w:rPr>
        <w:t>Research</w:t>
      </w:r>
      <w:proofErr w:type="spellEnd"/>
      <w:r w:rsidRPr="009E4CBC">
        <w:rPr>
          <w:rFonts w:cstheme="minorHAnsi"/>
        </w:rPr>
        <w:t xml:space="preserve"> </w:t>
      </w:r>
      <w:r w:rsidR="00B47085">
        <w:rPr>
          <w:rFonts w:cstheme="minorHAnsi"/>
        </w:rPr>
        <w:t>(</w:t>
      </w:r>
      <w:r w:rsidRPr="009E4CBC">
        <w:rPr>
          <w:rFonts w:cstheme="minorHAnsi"/>
        </w:rPr>
        <w:t xml:space="preserve">donde se publicó el trabajo de </w:t>
      </w:r>
      <w:proofErr w:type="spellStart"/>
      <w:r w:rsidRPr="009E4CBC">
        <w:rPr>
          <w:rFonts w:cstheme="minorHAnsi"/>
        </w:rPr>
        <w:t>Lorensen</w:t>
      </w:r>
      <w:proofErr w:type="spellEnd"/>
      <w:r w:rsidR="00B47085">
        <w:rPr>
          <w:rFonts w:cstheme="minorHAnsi"/>
        </w:rPr>
        <w:t>)</w:t>
      </w:r>
      <w:r w:rsidRPr="009E4CBC">
        <w:rPr>
          <w:rFonts w:cstheme="minorHAnsi"/>
        </w:rPr>
        <w:t xml:space="preserve">, envió el estudio y los comentarios recibidos al </w:t>
      </w:r>
      <w:r w:rsidR="003F1C28" w:rsidRPr="00BA4EAC">
        <w:rPr>
          <w:rFonts w:cstheme="minorHAnsi"/>
        </w:rPr>
        <w:t>Financial Accounting Standards Board (</w:t>
      </w:r>
      <w:r w:rsidR="003F1C28" w:rsidRPr="009E4CBC">
        <w:rPr>
          <w:rFonts w:cstheme="minorHAnsi"/>
        </w:rPr>
        <w:t>FASB)</w:t>
      </w:r>
      <w:r w:rsidRPr="009E4CBC">
        <w:rPr>
          <w:rFonts w:cstheme="minorHAnsi"/>
        </w:rPr>
        <w:t xml:space="preserve"> cuando el mismo comenzó a operar.</w:t>
      </w:r>
    </w:p>
    <w:p w14:paraId="1FA31A09" w14:textId="5FF04C3D" w:rsidR="00751A22" w:rsidRPr="009E4CBC" w:rsidRDefault="00751A22" w:rsidP="009E4CBC">
      <w:pPr>
        <w:spacing w:line="240" w:lineRule="auto"/>
        <w:ind w:firstLine="708"/>
        <w:jc w:val="both"/>
        <w:rPr>
          <w:rFonts w:cstheme="minorHAnsi"/>
          <w:b/>
          <w:bCs/>
        </w:rPr>
      </w:pPr>
      <w:r w:rsidRPr="009E4CBC">
        <w:rPr>
          <w:rFonts w:cstheme="minorHAnsi"/>
        </w:rPr>
        <w:t xml:space="preserve">En 1975 el </w:t>
      </w:r>
      <w:r w:rsidRPr="009E4CBC">
        <w:rPr>
          <w:rFonts w:cstheme="minorHAnsi"/>
          <w:bCs/>
        </w:rPr>
        <w:t>método temporal</w:t>
      </w:r>
      <w:r w:rsidRPr="009E4CBC">
        <w:rPr>
          <w:rFonts w:cstheme="minorHAnsi"/>
          <w:b/>
          <w:bCs/>
        </w:rPr>
        <w:t xml:space="preserve"> </w:t>
      </w:r>
      <w:r w:rsidRPr="009E4CBC">
        <w:rPr>
          <w:rFonts w:cstheme="minorHAnsi"/>
        </w:rPr>
        <w:t xml:space="preserve">propuesto por Lorensen derivó en la promulgación por parte del FASB del </w:t>
      </w:r>
      <w:r w:rsidRPr="009E4CBC">
        <w:rPr>
          <w:rFonts w:cstheme="minorHAnsi"/>
          <w:iCs/>
        </w:rPr>
        <w:t>Statement of Financial Accounting Standards No. 8 (SFAS 8)</w:t>
      </w:r>
      <w:r w:rsidRPr="009E4CBC">
        <w:rPr>
          <w:rFonts w:cstheme="minorHAnsi"/>
          <w:i/>
          <w:iCs/>
        </w:rPr>
        <w:t>.</w:t>
      </w:r>
      <w:r w:rsidRPr="009E4CBC">
        <w:rPr>
          <w:rFonts w:cstheme="minorHAnsi"/>
        </w:rPr>
        <w:t xml:space="preserve"> </w:t>
      </w:r>
      <w:r w:rsidR="00CB56AE" w:rsidRPr="009E4CBC">
        <w:rPr>
          <w:rFonts w:cstheme="minorHAnsi"/>
        </w:rPr>
        <w:t>El</w:t>
      </w:r>
      <w:r w:rsidRPr="009E4CBC">
        <w:rPr>
          <w:rFonts w:cstheme="minorHAnsi"/>
        </w:rPr>
        <w:t xml:space="preserve"> SFAS 8 fue aprobad</w:t>
      </w:r>
      <w:r w:rsidR="00B47085">
        <w:rPr>
          <w:rFonts w:cstheme="minorHAnsi"/>
        </w:rPr>
        <w:t>o</w:t>
      </w:r>
      <w:r w:rsidRPr="009E4CBC">
        <w:rPr>
          <w:rFonts w:cstheme="minorHAnsi"/>
        </w:rPr>
        <w:t xml:space="preserve"> a fines de 1975 y comenzó a aplicarse para ejercicios iniciados a partir del 1</w:t>
      </w:r>
      <w:r w:rsidR="00B47085">
        <w:rPr>
          <w:rFonts w:cstheme="minorHAnsi"/>
        </w:rPr>
        <w:t>°</w:t>
      </w:r>
      <w:r w:rsidRPr="009E4CBC">
        <w:rPr>
          <w:rFonts w:cstheme="minorHAnsi"/>
        </w:rPr>
        <w:t xml:space="preserve"> de enero de 1976.</w:t>
      </w:r>
      <w:r w:rsidRPr="009E4CBC">
        <w:rPr>
          <w:rFonts w:cstheme="minorHAnsi"/>
          <w:b/>
          <w:bCs/>
        </w:rPr>
        <w:t xml:space="preserve"> </w:t>
      </w:r>
      <w:r w:rsidR="00B47085">
        <w:rPr>
          <w:rFonts w:cstheme="minorHAnsi"/>
        </w:rPr>
        <w:t>El mismo</w:t>
      </w:r>
      <w:r w:rsidRPr="009E4CBC">
        <w:rPr>
          <w:rFonts w:cstheme="minorHAnsi"/>
        </w:rPr>
        <w:t xml:space="preserve"> establece normas de contabilidad financiera y </w:t>
      </w:r>
      <w:r w:rsidR="00FE380E" w:rsidRPr="009E4CBC">
        <w:rPr>
          <w:rFonts w:cstheme="minorHAnsi"/>
        </w:rPr>
        <w:t xml:space="preserve">de </w:t>
      </w:r>
      <w:r w:rsidRPr="009E4CBC">
        <w:rPr>
          <w:rFonts w:cstheme="minorHAnsi"/>
        </w:rPr>
        <w:t>presentación para la conversión de estados financieros en moneda extranjera incorporados en los estados financieros de una empresa por consolidación, combinación o el método contable de participación</w:t>
      </w:r>
      <w:r w:rsidR="00FA782D" w:rsidRPr="009E4CBC">
        <w:rPr>
          <w:rFonts w:cstheme="minorHAnsi"/>
        </w:rPr>
        <w:t xml:space="preserve"> (FASB, 1975)</w:t>
      </w:r>
      <w:r w:rsidRPr="009E4CBC">
        <w:rPr>
          <w:rFonts w:cstheme="minorHAnsi"/>
        </w:rPr>
        <w:t xml:space="preserve">. </w:t>
      </w:r>
    </w:p>
    <w:p w14:paraId="4F2A82B7" w14:textId="0603CC68" w:rsidR="00751A22" w:rsidRPr="009E4CBC" w:rsidRDefault="00751A22" w:rsidP="009E4CBC">
      <w:pPr>
        <w:spacing w:line="240" w:lineRule="auto"/>
        <w:ind w:firstLine="708"/>
        <w:jc w:val="both"/>
        <w:rPr>
          <w:rFonts w:cstheme="minorHAnsi"/>
        </w:rPr>
      </w:pPr>
      <w:r w:rsidRPr="009E4CBC">
        <w:rPr>
          <w:rFonts w:cstheme="minorHAnsi"/>
        </w:rPr>
        <w:t xml:space="preserve">El método de conversión </w:t>
      </w:r>
      <w:r w:rsidR="00F1094F">
        <w:rPr>
          <w:rFonts w:cstheme="minorHAnsi"/>
        </w:rPr>
        <w:t>d</w:t>
      </w:r>
      <w:r w:rsidR="00CB56AE" w:rsidRPr="009E4CBC">
        <w:rPr>
          <w:rFonts w:cstheme="minorHAnsi"/>
        </w:rPr>
        <w:t>el</w:t>
      </w:r>
      <w:r w:rsidR="00060EFF" w:rsidRPr="009E4CBC">
        <w:rPr>
          <w:rFonts w:cstheme="minorHAnsi"/>
        </w:rPr>
        <w:t xml:space="preserve"> SFAS 8</w:t>
      </w:r>
      <w:r w:rsidR="00F1094F">
        <w:rPr>
          <w:rFonts w:cstheme="minorHAnsi"/>
        </w:rPr>
        <w:t xml:space="preserve"> se basa</w:t>
      </w:r>
      <w:r w:rsidR="00060EFF" w:rsidRPr="009E4CBC">
        <w:rPr>
          <w:rFonts w:cstheme="minorHAnsi"/>
        </w:rPr>
        <w:t xml:space="preserve"> </w:t>
      </w:r>
      <w:r w:rsidRPr="009E4CBC">
        <w:rPr>
          <w:rFonts w:cstheme="minorHAnsi"/>
        </w:rPr>
        <w:t>en el mantenimiento de los criterios de medición aplicados por la subsidiaria en sus propios estados financieros y</w:t>
      </w:r>
      <w:r w:rsidR="008338BE">
        <w:rPr>
          <w:rFonts w:cstheme="minorHAnsi"/>
        </w:rPr>
        <w:t>,</w:t>
      </w:r>
      <w:r w:rsidRPr="009E4CBC">
        <w:rPr>
          <w:rFonts w:cstheme="minorHAnsi"/>
        </w:rPr>
        <w:t xml:space="preserve"> de esta manera, se trata de aplicar para la conversión el tipo de cambio del día que se corresponde con el criterio de medición utilizado</w:t>
      </w:r>
      <w:r w:rsidR="005A311D" w:rsidRPr="009E4CBC">
        <w:rPr>
          <w:rFonts w:cstheme="minorHAnsi"/>
        </w:rPr>
        <w:t xml:space="preserve"> (</w:t>
      </w:r>
      <w:r w:rsidR="008338BE">
        <w:rPr>
          <w:rFonts w:cstheme="minorHAnsi"/>
        </w:rPr>
        <w:t>Pahlen</w:t>
      </w:r>
      <w:r w:rsidR="008338BE" w:rsidRPr="009E4CBC">
        <w:rPr>
          <w:rFonts w:cstheme="minorHAnsi"/>
        </w:rPr>
        <w:t xml:space="preserve"> </w:t>
      </w:r>
      <w:r w:rsidR="005A311D" w:rsidRPr="009E4CBC">
        <w:rPr>
          <w:rFonts w:cstheme="minorHAnsi"/>
        </w:rPr>
        <w:t>Acuña et al</w:t>
      </w:r>
      <w:r w:rsidRPr="009E4CBC">
        <w:rPr>
          <w:rFonts w:cstheme="minorHAnsi"/>
        </w:rPr>
        <w:t>.</w:t>
      </w:r>
      <w:r w:rsidR="005A311D" w:rsidRPr="009E4CBC">
        <w:rPr>
          <w:rFonts w:cstheme="minorHAnsi"/>
        </w:rPr>
        <w:t>, 2010)</w:t>
      </w:r>
      <w:r w:rsidR="00336326">
        <w:rPr>
          <w:rFonts w:cstheme="minorHAnsi"/>
        </w:rPr>
        <w:t>.</w:t>
      </w:r>
      <w:r w:rsidRPr="009E4CBC">
        <w:rPr>
          <w:rFonts w:cstheme="minorHAnsi"/>
        </w:rPr>
        <w:t xml:space="preserve"> Así, si esta empresa utiliza costos históricos, los tipos de cambio a aplicar son los que corresponden al momento de ingreso de esas partidas y si emplea valores corrientes, se utilizará el tipo de cambio de cierre</w:t>
      </w:r>
      <w:r w:rsidR="005A311D" w:rsidRPr="009E4CBC">
        <w:rPr>
          <w:rFonts w:cstheme="minorHAnsi"/>
        </w:rPr>
        <w:t xml:space="preserve"> (Torres, 2005)</w:t>
      </w:r>
      <w:r w:rsidRPr="009E4CBC">
        <w:rPr>
          <w:rFonts w:cstheme="minorHAnsi"/>
        </w:rPr>
        <w:t>.</w:t>
      </w:r>
    </w:p>
    <w:p w14:paraId="7EC849BD" w14:textId="601088A8" w:rsidR="00751A22" w:rsidRPr="009E4CBC" w:rsidRDefault="00751A22" w:rsidP="009E4CBC">
      <w:pPr>
        <w:spacing w:line="240" w:lineRule="auto"/>
        <w:ind w:firstLine="708"/>
        <w:jc w:val="both"/>
        <w:rPr>
          <w:rFonts w:cstheme="minorHAnsi"/>
        </w:rPr>
      </w:pPr>
      <w:r w:rsidRPr="009E4CBC">
        <w:rPr>
          <w:rFonts w:cstheme="minorHAnsi"/>
        </w:rPr>
        <w:t xml:space="preserve">Las transacciones de ingresos y gastos se convertirán de una manera que produzca aproximadamente los mismos montos en dólares que habrían resultado si las transacciones subyacentes se hubieran convertido a dólares en las fechas en que ocurrieron. Dado que la </w:t>
      </w:r>
      <w:r w:rsidR="003F14CA" w:rsidRPr="009E4CBC">
        <w:rPr>
          <w:rFonts w:cstheme="minorHAnsi"/>
        </w:rPr>
        <w:t>conversión</w:t>
      </w:r>
      <w:r w:rsidRPr="009E4CBC">
        <w:rPr>
          <w:rFonts w:cstheme="minorHAnsi"/>
        </w:rPr>
        <w:t xml:space="preserve"> por separado de cada transacción no suele ser práctica, el resultado</w:t>
      </w:r>
      <w:r w:rsidR="0080152A" w:rsidRPr="009E4CBC">
        <w:rPr>
          <w:rFonts w:cstheme="minorHAnsi"/>
        </w:rPr>
        <w:t xml:space="preserve"> </w:t>
      </w:r>
      <w:r w:rsidRPr="009E4CBC">
        <w:rPr>
          <w:rFonts w:cstheme="minorHAnsi"/>
        </w:rPr>
        <w:t xml:space="preserve">se puede lograr utilizando una tasa promedio para el período. Sin embargo, los ingresos y gastos que se relacionan con activos y pasivos convertidos a tipo de cambio histórico se convertirán a los tipos de cambio históricos utilizados para convertir </w:t>
      </w:r>
      <w:r w:rsidR="0080152A" w:rsidRPr="009E4CBC">
        <w:rPr>
          <w:rFonts w:cstheme="minorHAnsi"/>
        </w:rPr>
        <w:t>dichos</w:t>
      </w:r>
      <w:r w:rsidRPr="009E4CBC">
        <w:rPr>
          <w:rFonts w:cstheme="minorHAnsi"/>
        </w:rPr>
        <w:t xml:space="preserve"> activos o pasivos relacionados.</w:t>
      </w:r>
      <w:r w:rsidR="001D3436" w:rsidRPr="009E4CBC">
        <w:rPr>
          <w:rFonts w:cstheme="minorHAnsi"/>
        </w:rPr>
        <w:t xml:space="preserve"> </w:t>
      </w:r>
      <w:r w:rsidRPr="009E4CBC">
        <w:rPr>
          <w:rFonts w:cstheme="minorHAnsi"/>
        </w:rPr>
        <w:t xml:space="preserve">Esto significa que el procedimiento de conversión debería arrojar los mismos resultados que se </w:t>
      </w:r>
      <w:r w:rsidRPr="009E4CBC">
        <w:rPr>
          <w:rFonts w:cstheme="minorHAnsi"/>
        </w:rPr>
        <w:lastRenderedPageBreak/>
        <w:t>obtendrían si la empresa matriz hubiera operado directamente en el país de la subsidiaria en lugar de hacerlo a través de una filial en el extranjero.</w:t>
      </w:r>
    </w:p>
    <w:p w14:paraId="64C1CAF9" w14:textId="75576D85" w:rsidR="00751A22" w:rsidRPr="009E4CBC" w:rsidRDefault="00751A22" w:rsidP="009E4CBC">
      <w:pPr>
        <w:spacing w:line="240" w:lineRule="auto"/>
        <w:ind w:firstLine="708"/>
        <w:jc w:val="both"/>
        <w:rPr>
          <w:rFonts w:cstheme="minorHAnsi"/>
        </w:rPr>
      </w:pPr>
      <w:r w:rsidRPr="009E4CBC">
        <w:rPr>
          <w:rFonts w:cstheme="minorHAnsi"/>
        </w:rPr>
        <w:t>Un</w:t>
      </w:r>
      <w:r w:rsidR="0080152A" w:rsidRPr="009E4CBC">
        <w:rPr>
          <w:rFonts w:cstheme="minorHAnsi"/>
        </w:rPr>
        <w:t>a variación</w:t>
      </w:r>
      <w:r w:rsidRPr="009E4CBC">
        <w:rPr>
          <w:rFonts w:cstheme="minorHAnsi"/>
        </w:rPr>
        <w:t xml:space="preserve"> en el tipo de cambio entre el dólar y la moneda extranjera en la que se miden o presentan los activos y pasivos puede resultar en una ganancia o pérdida por cambio si el método de conversión utiliza el dólar como unidad de medida. Las ganancias o pérdidas de cambio son consecuencia de la conversión, es decir, de la nueva medición en dólares. Es así que las mismas se incluirán en la determinación de la utilidad neta para el período en el que el tipo de cambio varía. </w:t>
      </w:r>
    </w:p>
    <w:p w14:paraId="7994A146" w14:textId="3622842C" w:rsidR="00751A22" w:rsidRPr="009E4CBC" w:rsidRDefault="00751A22" w:rsidP="009E4CBC">
      <w:pPr>
        <w:spacing w:line="240" w:lineRule="auto"/>
        <w:ind w:firstLine="708"/>
        <w:jc w:val="both"/>
        <w:rPr>
          <w:rFonts w:cstheme="minorHAnsi"/>
          <w:color w:val="FF0000"/>
        </w:rPr>
      </w:pPr>
      <w:r w:rsidRPr="009E4CBC">
        <w:rPr>
          <w:rFonts w:cstheme="minorHAnsi"/>
        </w:rPr>
        <w:t>El método temporal, que como señala su propulsor se basa en el principio temporal de conversión, procura fundamentalmente brindar una base conceptual más adecuada respecto de la que sustenta al método monetario-no monetario, más allá de la coincidencia que entre ambos se produce, dado el generalizado empleo del costo histórico como criterio de medición en muchos países</w:t>
      </w:r>
      <w:r w:rsidR="005A311D" w:rsidRPr="009E4CBC">
        <w:rPr>
          <w:rFonts w:cstheme="minorHAnsi"/>
        </w:rPr>
        <w:t xml:space="preserve"> (Torres, 2005)</w:t>
      </w:r>
      <w:r w:rsidRPr="009E4CBC">
        <w:rPr>
          <w:rFonts w:cstheme="minorHAnsi"/>
        </w:rPr>
        <w:t>.</w:t>
      </w:r>
    </w:p>
    <w:p w14:paraId="55FBED12" w14:textId="0A177E8E" w:rsidR="00751A22" w:rsidRPr="009E4CBC" w:rsidRDefault="005A311D" w:rsidP="009E4CBC">
      <w:pPr>
        <w:spacing w:line="240" w:lineRule="auto"/>
        <w:ind w:firstLine="708"/>
        <w:jc w:val="both"/>
        <w:rPr>
          <w:rFonts w:cstheme="minorHAnsi"/>
        </w:rPr>
      </w:pPr>
      <w:r w:rsidRPr="009E4CBC">
        <w:rPr>
          <w:rFonts w:cstheme="minorHAnsi"/>
        </w:rPr>
        <w:t xml:space="preserve">Según </w:t>
      </w:r>
      <w:r w:rsidR="008338BE">
        <w:rPr>
          <w:rFonts w:cstheme="minorHAnsi"/>
        </w:rPr>
        <w:t>Pahlen</w:t>
      </w:r>
      <w:r w:rsidR="008338BE" w:rsidRPr="009E4CBC">
        <w:rPr>
          <w:rFonts w:cstheme="minorHAnsi"/>
        </w:rPr>
        <w:t xml:space="preserve"> </w:t>
      </w:r>
      <w:r w:rsidRPr="009E4CBC">
        <w:rPr>
          <w:rFonts w:cstheme="minorHAnsi"/>
        </w:rPr>
        <w:t>Acuña et al. (2010), l</w:t>
      </w:r>
      <w:r w:rsidR="00751A22" w:rsidRPr="009E4CBC">
        <w:rPr>
          <w:rFonts w:cstheme="minorHAnsi"/>
        </w:rPr>
        <w:t>os tiem</w:t>
      </w:r>
      <w:r w:rsidR="00CB56AE" w:rsidRPr="009E4CBC">
        <w:rPr>
          <w:rFonts w:cstheme="minorHAnsi"/>
        </w:rPr>
        <w:t>pos en que comenzó a aplicarse el</w:t>
      </w:r>
      <w:r w:rsidR="00751A22" w:rsidRPr="009E4CBC">
        <w:rPr>
          <w:rFonts w:cstheme="minorHAnsi"/>
        </w:rPr>
        <w:t xml:space="preserve"> SFAS 8 estuvieron caracterizados en lo económico, entre otros, por los siguientes aspectos: </w:t>
      </w:r>
    </w:p>
    <w:p w14:paraId="3CC2A215" w14:textId="56C2CAEE" w:rsidR="00751A22" w:rsidRPr="009E4CBC" w:rsidRDefault="00751A22" w:rsidP="00C05E27">
      <w:pPr>
        <w:pStyle w:val="Prrafodelista"/>
        <w:numPr>
          <w:ilvl w:val="0"/>
          <w:numId w:val="36"/>
        </w:numPr>
        <w:spacing w:line="240" w:lineRule="auto"/>
        <w:jc w:val="both"/>
        <w:rPr>
          <w:rFonts w:cstheme="minorHAnsi"/>
        </w:rPr>
      </w:pPr>
      <w:r w:rsidRPr="009E4CBC">
        <w:rPr>
          <w:rFonts w:cstheme="minorHAnsi"/>
        </w:rPr>
        <w:t xml:space="preserve">Incrementos </w:t>
      </w:r>
      <w:r w:rsidR="0080152A" w:rsidRPr="009E4CBC">
        <w:rPr>
          <w:rFonts w:cstheme="minorHAnsi"/>
        </w:rPr>
        <w:t>considerables</w:t>
      </w:r>
      <w:r w:rsidRPr="009E4CBC">
        <w:rPr>
          <w:rFonts w:cstheme="minorHAnsi"/>
        </w:rPr>
        <w:t xml:space="preserve"> de los precios del petróleo.</w:t>
      </w:r>
    </w:p>
    <w:p w14:paraId="11D0D19B" w14:textId="77777777" w:rsidR="00751A22" w:rsidRPr="009E4CBC" w:rsidRDefault="00751A22" w:rsidP="00C05E27">
      <w:pPr>
        <w:pStyle w:val="Prrafodelista"/>
        <w:numPr>
          <w:ilvl w:val="0"/>
          <w:numId w:val="36"/>
        </w:numPr>
        <w:spacing w:line="240" w:lineRule="auto"/>
        <w:jc w:val="both"/>
        <w:rPr>
          <w:rFonts w:cstheme="minorHAnsi"/>
        </w:rPr>
      </w:pPr>
      <w:r w:rsidRPr="009E4CBC">
        <w:rPr>
          <w:rFonts w:cstheme="minorHAnsi"/>
        </w:rPr>
        <w:t xml:space="preserve">Debilidad del dólar frente a las monedas europeas y el yen japonés. </w:t>
      </w:r>
    </w:p>
    <w:p w14:paraId="1305CFD9" w14:textId="09EFFA4F" w:rsidR="00751A22" w:rsidRPr="009E4CBC" w:rsidRDefault="00751A22" w:rsidP="00C05E27">
      <w:pPr>
        <w:pStyle w:val="Prrafodelista"/>
        <w:numPr>
          <w:ilvl w:val="0"/>
          <w:numId w:val="36"/>
        </w:numPr>
        <w:spacing w:line="240" w:lineRule="auto"/>
        <w:jc w:val="both"/>
        <w:rPr>
          <w:rFonts w:cstheme="minorHAnsi"/>
        </w:rPr>
      </w:pPr>
      <w:r w:rsidRPr="009E4CBC">
        <w:rPr>
          <w:rFonts w:cstheme="minorHAnsi"/>
        </w:rPr>
        <w:t>Subsidiarias de empresas norteamericanas en el exterior financiaban sus compras de bienes de uso con préstamos en moneda local de los países en que se localizaban.</w:t>
      </w:r>
    </w:p>
    <w:p w14:paraId="61037592" w14:textId="5AC55658" w:rsidR="00751A22" w:rsidRPr="009E4CBC" w:rsidRDefault="00751A22" w:rsidP="009E4CBC">
      <w:pPr>
        <w:spacing w:line="240" w:lineRule="auto"/>
        <w:ind w:firstLine="708"/>
        <w:jc w:val="both"/>
        <w:rPr>
          <w:rFonts w:cstheme="minorHAnsi"/>
        </w:rPr>
      </w:pPr>
      <w:r w:rsidRPr="009E4CBC">
        <w:rPr>
          <w:rFonts w:cstheme="minorHAnsi"/>
        </w:rPr>
        <w:t>Tampoco contaba Estados Unidos con una norma que requiriera la reexpresión por inflación, lo que podría haber atenuado la pérdida de cambio. Por e</w:t>
      </w:r>
      <w:r w:rsidR="0080152A" w:rsidRPr="009E4CBC">
        <w:rPr>
          <w:rFonts w:cstheme="minorHAnsi"/>
        </w:rPr>
        <w:t>llo</w:t>
      </w:r>
      <w:r w:rsidR="00336326">
        <w:rPr>
          <w:rFonts w:cstheme="minorHAnsi"/>
        </w:rPr>
        <w:t>,</w:t>
      </w:r>
      <w:r w:rsidRPr="009E4CBC">
        <w:rPr>
          <w:rFonts w:cstheme="minorHAnsi"/>
        </w:rPr>
        <w:t xml:space="preserve"> se multiplicaron </w:t>
      </w:r>
      <w:r w:rsidR="00CB56AE" w:rsidRPr="009E4CBC">
        <w:rPr>
          <w:rFonts w:cstheme="minorHAnsi"/>
        </w:rPr>
        <w:t>las críticas a la aplicación del</w:t>
      </w:r>
      <w:r w:rsidRPr="009E4CBC">
        <w:rPr>
          <w:rFonts w:cstheme="minorHAnsi"/>
        </w:rPr>
        <w:t xml:space="preserve"> SFAS 8 y comenzó a </w:t>
      </w:r>
      <w:r w:rsidR="0080152A" w:rsidRPr="009E4CBC">
        <w:rPr>
          <w:rFonts w:cstheme="minorHAnsi"/>
        </w:rPr>
        <w:t>prevalecer</w:t>
      </w:r>
      <w:r w:rsidRPr="009E4CBC">
        <w:rPr>
          <w:rFonts w:cstheme="minorHAnsi"/>
        </w:rPr>
        <w:t xml:space="preserve"> la idea de que el tipo de cambio de cierre era preferible en ciertos casos. </w:t>
      </w:r>
    </w:p>
    <w:p w14:paraId="4E1DC062" w14:textId="77777777" w:rsidR="001230C0" w:rsidRPr="009E4CBC" w:rsidRDefault="001230C0" w:rsidP="009E4CBC">
      <w:pPr>
        <w:spacing w:line="240" w:lineRule="auto"/>
        <w:ind w:firstLine="708"/>
        <w:jc w:val="both"/>
        <w:rPr>
          <w:rFonts w:cstheme="minorHAnsi"/>
        </w:rPr>
      </w:pPr>
    </w:p>
    <w:p w14:paraId="5CC255A7" w14:textId="2BAC92F7" w:rsidR="00751A22" w:rsidRPr="009E4CBC" w:rsidRDefault="00751A22" w:rsidP="009E4CBC">
      <w:pPr>
        <w:pStyle w:val="Ttulo2"/>
        <w:numPr>
          <w:ilvl w:val="2"/>
          <w:numId w:val="24"/>
        </w:numPr>
        <w:spacing w:line="240" w:lineRule="auto"/>
        <w:rPr>
          <w:rFonts w:cstheme="minorHAnsi"/>
        </w:rPr>
      </w:pPr>
      <w:r w:rsidRPr="009E4CBC">
        <w:rPr>
          <w:rFonts w:cstheme="minorHAnsi"/>
        </w:rPr>
        <w:t>La incorporación de la moneda funcional por el FASB: SFAS 52</w:t>
      </w:r>
    </w:p>
    <w:p w14:paraId="265CCBED" w14:textId="4A5AC39A" w:rsidR="00751A22" w:rsidRPr="009E4CBC" w:rsidRDefault="00751A22" w:rsidP="009E4CBC">
      <w:pPr>
        <w:spacing w:line="240" w:lineRule="auto"/>
        <w:ind w:firstLine="708"/>
        <w:jc w:val="both"/>
        <w:rPr>
          <w:rFonts w:cstheme="minorHAnsi"/>
        </w:rPr>
      </w:pPr>
      <w:r w:rsidRPr="009E4CBC">
        <w:rPr>
          <w:rFonts w:cstheme="minorHAnsi"/>
        </w:rPr>
        <w:t>En mayo de 1978, la FASB emitió una invitación para recibir</w:t>
      </w:r>
      <w:r w:rsidR="00CB56AE" w:rsidRPr="009E4CBC">
        <w:rPr>
          <w:rFonts w:cstheme="minorHAnsi"/>
        </w:rPr>
        <w:t xml:space="preserve"> comentarios del público sobre lo</w:t>
      </w:r>
      <w:r w:rsidRPr="009E4CBC">
        <w:rPr>
          <w:rFonts w:cstheme="minorHAnsi"/>
        </w:rPr>
        <w:t>s SFAS 1</w:t>
      </w:r>
      <w:r w:rsidR="00BD7F2E" w:rsidRPr="009E4CBC">
        <w:rPr>
          <w:rFonts w:cstheme="minorHAnsi"/>
        </w:rPr>
        <w:t xml:space="preserve"> a </w:t>
      </w:r>
      <w:r w:rsidRPr="009E4CBC">
        <w:rPr>
          <w:rFonts w:cstheme="minorHAnsi"/>
        </w:rPr>
        <w:t xml:space="preserve">12, cada </w:t>
      </w:r>
      <w:r w:rsidR="00B47085" w:rsidRPr="009E4CBC">
        <w:rPr>
          <w:rFonts w:cstheme="minorHAnsi"/>
        </w:rPr>
        <w:t>un</w:t>
      </w:r>
      <w:r w:rsidR="00B47085">
        <w:rPr>
          <w:rFonts w:cstheme="minorHAnsi"/>
        </w:rPr>
        <w:t>o</w:t>
      </w:r>
      <w:r w:rsidR="00B47085" w:rsidRPr="009E4CBC">
        <w:rPr>
          <w:rFonts w:cstheme="minorHAnsi"/>
        </w:rPr>
        <w:t xml:space="preserve"> </w:t>
      </w:r>
      <w:r w:rsidRPr="009E4CBC">
        <w:rPr>
          <w:rFonts w:cstheme="minorHAnsi"/>
        </w:rPr>
        <w:t>de l</w:t>
      </w:r>
      <w:r w:rsidR="00B47085">
        <w:rPr>
          <w:rFonts w:cstheme="minorHAnsi"/>
        </w:rPr>
        <w:t>o</w:t>
      </w:r>
      <w:r w:rsidRPr="009E4CBC">
        <w:rPr>
          <w:rFonts w:cstheme="minorHAnsi"/>
        </w:rPr>
        <w:t>s cuales había estado en aplicación durante al menos dos años. El tema vinculado a conversión de moneda extranjera fue el que recibió la mayor cantidad de comentarios. En enero de 1979, la FASB agregó a su agenda</w:t>
      </w:r>
      <w:r w:rsidR="00CB56AE" w:rsidRPr="009E4CBC">
        <w:rPr>
          <w:rFonts w:cstheme="minorHAnsi"/>
        </w:rPr>
        <w:t xml:space="preserve"> un proyecto para reconsiderar el</w:t>
      </w:r>
      <w:r w:rsidRPr="009E4CBC">
        <w:rPr>
          <w:rFonts w:cstheme="minorHAnsi"/>
        </w:rPr>
        <w:t xml:space="preserve"> SFAS 8, siendo el resultado de ese proyecto </w:t>
      </w:r>
      <w:r w:rsidR="00CB56AE" w:rsidRPr="009E4CBC">
        <w:rPr>
          <w:rFonts w:cstheme="minorHAnsi"/>
        </w:rPr>
        <w:t>el</w:t>
      </w:r>
      <w:r w:rsidRPr="009E4CBC">
        <w:rPr>
          <w:rFonts w:cstheme="minorHAnsi"/>
        </w:rPr>
        <w:t xml:space="preserve"> </w:t>
      </w:r>
      <w:r w:rsidRPr="009E4CBC">
        <w:rPr>
          <w:rFonts w:cstheme="minorHAnsi"/>
          <w:bCs/>
        </w:rPr>
        <w:t>SFAS 52</w:t>
      </w:r>
      <w:r w:rsidRPr="009E4CBC">
        <w:rPr>
          <w:rFonts w:cstheme="minorHAnsi"/>
        </w:rPr>
        <w:t>, sancionad</w:t>
      </w:r>
      <w:r w:rsidR="00B47085">
        <w:rPr>
          <w:rFonts w:cstheme="minorHAnsi"/>
        </w:rPr>
        <w:t>o</w:t>
      </w:r>
      <w:r w:rsidRPr="009E4CBC">
        <w:rPr>
          <w:rFonts w:cstheme="minorHAnsi"/>
        </w:rPr>
        <w:t xml:space="preserve"> en diciembre de 1981, con aplicación a partir de los ejercicios iniciados </w:t>
      </w:r>
      <w:r w:rsidR="0096777E">
        <w:rPr>
          <w:rFonts w:cstheme="minorHAnsi"/>
        </w:rPr>
        <w:t>en</w:t>
      </w:r>
      <w:r w:rsidRPr="009E4CBC">
        <w:rPr>
          <w:rFonts w:cstheme="minorHAnsi"/>
        </w:rPr>
        <w:t xml:space="preserve"> diciembre de 1982.</w:t>
      </w:r>
    </w:p>
    <w:p w14:paraId="5107F7EC" w14:textId="6EE6CD30" w:rsidR="00751A22" w:rsidRPr="009E4CBC" w:rsidRDefault="00CB56AE" w:rsidP="009E4CBC">
      <w:pPr>
        <w:spacing w:line="240" w:lineRule="auto"/>
        <w:ind w:firstLine="708"/>
        <w:jc w:val="both"/>
        <w:rPr>
          <w:rFonts w:cstheme="minorHAnsi"/>
        </w:rPr>
      </w:pPr>
      <w:r w:rsidRPr="009E4CBC">
        <w:rPr>
          <w:rFonts w:cstheme="minorHAnsi"/>
        </w:rPr>
        <w:t>El</w:t>
      </w:r>
      <w:r w:rsidR="00751A22" w:rsidRPr="009E4CBC">
        <w:rPr>
          <w:rFonts w:cstheme="minorHAnsi"/>
        </w:rPr>
        <w:t xml:space="preserve"> SFAS 52 reemplaza </w:t>
      </w:r>
      <w:r w:rsidRPr="009E4CBC">
        <w:rPr>
          <w:rFonts w:cstheme="minorHAnsi"/>
        </w:rPr>
        <w:t>al</w:t>
      </w:r>
      <w:r w:rsidR="00751A22" w:rsidRPr="009E4CBC">
        <w:rPr>
          <w:rFonts w:cstheme="minorHAnsi"/>
        </w:rPr>
        <w:t xml:space="preserve"> SFAS 8 y revisa los requerimientos existentes de contabilidad y presentación para la conversión de transacciones en moneda extranjera y estados financieros en moneda extranjera. </w:t>
      </w:r>
      <w:r w:rsidR="0096777E">
        <w:rPr>
          <w:rFonts w:cstheme="minorHAnsi"/>
        </w:rPr>
        <w:t>El mismo</w:t>
      </w:r>
      <w:r w:rsidR="00751A22" w:rsidRPr="009E4CBC">
        <w:rPr>
          <w:rFonts w:cstheme="minorHAnsi"/>
        </w:rPr>
        <w:t xml:space="preserve"> presenta estándares para la conversión de moneda extranjera que están diseñados con los objetivos de: (1) proporcionar información que es generalmente compatible con los efectos económicos esperados de un cambio de tasa sobre los flujos de efectivo y el patrimonio de una empresa y (2) reflejar en los estados consolidados los resultados y relaciones financieras como medidos en la moneda principal en la que cada entidad realiza sus negocios (denominada su "moneda funcional"), de conformidad con los </w:t>
      </w:r>
      <w:r w:rsidR="0080152A" w:rsidRPr="009E4CBC">
        <w:rPr>
          <w:rFonts w:cstheme="minorHAnsi"/>
        </w:rPr>
        <w:t>P</w:t>
      </w:r>
      <w:r w:rsidR="00751A22" w:rsidRPr="009E4CBC">
        <w:rPr>
          <w:rFonts w:cstheme="minorHAnsi"/>
        </w:rPr>
        <w:t xml:space="preserve">rincipios de </w:t>
      </w:r>
      <w:r w:rsidR="0080152A" w:rsidRPr="009E4CBC">
        <w:rPr>
          <w:rFonts w:cstheme="minorHAnsi"/>
        </w:rPr>
        <w:t>C</w:t>
      </w:r>
      <w:r w:rsidR="00751A22" w:rsidRPr="009E4CBC">
        <w:rPr>
          <w:rFonts w:cstheme="minorHAnsi"/>
        </w:rPr>
        <w:t xml:space="preserve">ontabilidad </w:t>
      </w:r>
      <w:r w:rsidR="0080152A" w:rsidRPr="009E4CBC">
        <w:rPr>
          <w:rFonts w:cstheme="minorHAnsi"/>
        </w:rPr>
        <w:t>G</w:t>
      </w:r>
      <w:r w:rsidR="00751A22" w:rsidRPr="009E4CBC">
        <w:rPr>
          <w:rFonts w:cstheme="minorHAnsi"/>
        </w:rPr>
        <w:t xml:space="preserve">eneralmente </w:t>
      </w:r>
      <w:r w:rsidR="0080152A" w:rsidRPr="009E4CBC">
        <w:rPr>
          <w:rFonts w:cstheme="minorHAnsi"/>
        </w:rPr>
        <w:t>A</w:t>
      </w:r>
      <w:r w:rsidR="00751A22" w:rsidRPr="009E4CBC">
        <w:rPr>
          <w:rFonts w:cstheme="minorHAnsi"/>
        </w:rPr>
        <w:t>ceptados en los Estados Unidos</w:t>
      </w:r>
      <w:r w:rsidR="00FA782D" w:rsidRPr="009E4CBC">
        <w:rPr>
          <w:rFonts w:cstheme="minorHAnsi"/>
        </w:rPr>
        <w:t xml:space="preserve"> (FASB, </w:t>
      </w:r>
      <w:r w:rsidR="00A27E59" w:rsidRPr="009E4CBC">
        <w:rPr>
          <w:rFonts w:cstheme="minorHAnsi"/>
        </w:rPr>
        <w:t>1981)</w:t>
      </w:r>
      <w:r w:rsidR="00751A22" w:rsidRPr="009E4CBC">
        <w:rPr>
          <w:rFonts w:cstheme="minorHAnsi"/>
        </w:rPr>
        <w:t>.</w:t>
      </w:r>
    </w:p>
    <w:p w14:paraId="39BEF4BF" w14:textId="1F6267D9" w:rsidR="00751A22" w:rsidRPr="009E4CBC" w:rsidRDefault="00751A22" w:rsidP="009E4CBC">
      <w:pPr>
        <w:spacing w:line="240" w:lineRule="auto"/>
        <w:ind w:firstLine="708"/>
        <w:jc w:val="both"/>
        <w:rPr>
          <w:rFonts w:cstheme="minorHAnsi"/>
        </w:rPr>
      </w:pPr>
      <w:r w:rsidRPr="009E4CBC">
        <w:rPr>
          <w:rFonts w:cstheme="minorHAnsi"/>
        </w:rPr>
        <w:t>Si las registraciones de una entidad no se mantienen en su moneda funcional, se requiere una nueva medición</w:t>
      </w:r>
      <w:r w:rsidR="00DF34D5">
        <w:rPr>
          <w:rFonts w:cstheme="minorHAnsi"/>
        </w:rPr>
        <w:t xml:space="preserve"> a esta moneda</w:t>
      </w:r>
      <w:r w:rsidR="00336326">
        <w:rPr>
          <w:rFonts w:cstheme="minorHAnsi"/>
        </w:rPr>
        <w:t>, la cual</w:t>
      </w:r>
      <w:r w:rsidRPr="009E4CBC">
        <w:rPr>
          <w:rFonts w:cstheme="minorHAnsi"/>
        </w:rPr>
        <w:t xml:space="preserve"> es necesaria antes de la conversión a la</w:t>
      </w:r>
      <w:r w:rsidR="00B34537">
        <w:rPr>
          <w:rFonts w:cstheme="minorHAnsi"/>
        </w:rPr>
        <w:t xml:space="preserve"> moneda</w:t>
      </w:r>
      <w:r w:rsidRPr="009E4CBC">
        <w:rPr>
          <w:rFonts w:cstheme="minorHAnsi"/>
        </w:rPr>
        <w:t xml:space="preserve"> de presentación. Si la moneda funcional de una entidad extranjera es la de presentación, la nueva medición a </w:t>
      </w:r>
      <w:r w:rsidR="00D53432">
        <w:rPr>
          <w:rFonts w:cstheme="minorHAnsi"/>
        </w:rPr>
        <w:t xml:space="preserve">ésta última </w:t>
      </w:r>
      <w:r w:rsidRPr="009E4CBC">
        <w:rPr>
          <w:rFonts w:cstheme="minorHAnsi"/>
        </w:rPr>
        <w:t xml:space="preserve">evita la conversión. El proceso de nueva </w:t>
      </w:r>
      <w:r w:rsidRPr="009E4CBC">
        <w:rPr>
          <w:rFonts w:cstheme="minorHAnsi"/>
        </w:rPr>
        <w:lastRenderedPageBreak/>
        <w:t>medición está destinado a producir el mismo resultado que</w:t>
      </w:r>
      <w:r w:rsidR="0080152A" w:rsidRPr="009E4CBC">
        <w:rPr>
          <w:rFonts w:cstheme="minorHAnsi"/>
        </w:rPr>
        <w:t xml:space="preserve"> si</w:t>
      </w:r>
      <w:r w:rsidRPr="009E4CBC">
        <w:rPr>
          <w:rFonts w:cstheme="minorHAnsi"/>
        </w:rPr>
        <w:t xml:space="preserve"> las registraciones de la entidad se hubieran mantenido en la moneda funcional.</w:t>
      </w:r>
    </w:p>
    <w:p w14:paraId="6DC01F52" w14:textId="280B0958" w:rsidR="00751A22" w:rsidRPr="009E4CBC" w:rsidRDefault="000B70C7" w:rsidP="009E4CBC">
      <w:pPr>
        <w:spacing w:line="240" w:lineRule="auto"/>
        <w:ind w:firstLine="708"/>
        <w:jc w:val="both"/>
        <w:rPr>
          <w:rFonts w:cstheme="minorHAnsi"/>
        </w:rPr>
      </w:pPr>
      <w:r>
        <w:rPr>
          <w:rFonts w:cstheme="minorHAnsi"/>
        </w:rPr>
        <w:t>Para el caso en que la moneda funcional de la entidad extranjera fuera distinta a la moneda funcional de la matriz, el</w:t>
      </w:r>
      <w:r w:rsidR="00751A22" w:rsidRPr="009E4CBC">
        <w:rPr>
          <w:rFonts w:cstheme="minorHAnsi"/>
        </w:rPr>
        <w:t xml:space="preserve"> SFAS 52, según Fowler Newton</w:t>
      </w:r>
      <w:r w:rsidR="001A58F7" w:rsidRPr="009E4CBC">
        <w:rPr>
          <w:rFonts w:cstheme="minorHAnsi"/>
        </w:rPr>
        <w:t xml:space="preserve"> (2010)</w:t>
      </w:r>
      <w:r w:rsidR="00751A22" w:rsidRPr="009E4CBC">
        <w:rPr>
          <w:rFonts w:cstheme="minorHAnsi"/>
        </w:rPr>
        <w:t>, se basa en ciertas reglas básicas:</w:t>
      </w:r>
    </w:p>
    <w:p w14:paraId="7E7E881E" w14:textId="77777777" w:rsidR="00751A22" w:rsidRPr="009E4CBC" w:rsidRDefault="00751A22" w:rsidP="009E4CBC">
      <w:pPr>
        <w:pStyle w:val="Prrafodelista"/>
        <w:numPr>
          <w:ilvl w:val="0"/>
          <w:numId w:val="3"/>
        </w:numPr>
        <w:spacing w:line="240" w:lineRule="auto"/>
        <w:jc w:val="both"/>
        <w:rPr>
          <w:rFonts w:cstheme="minorHAnsi"/>
        </w:rPr>
      </w:pPr>
      <w:r w:rsidRPr="009E4CBC">
        <w:rPr>
          <w:rFonts w:cstheme="minorHAnsi"/>
        </w:rPr>
        <w:t>Las medidas asignadas a los activos y pasivos en la moneda original se convierten con un tipo de cambio de cierre;</w:t>
      </w:r>
    </w:p>
    <w:p w14:paraId="5738E680" w14:textId="77777777" w:rsidR="00751A22" w:rsidRPr="009E4CBC" w:rsidRDefault="00751A22" w:rsidP="009E4CBC">
      <w:pPr>
        <w:pStyle w:val="Prrafodelista"/>
        <w:numPr>
          <w:ilvl w:val="0"/>
          <w:numId w:val="3"/>
        </w:numPr>
        <w:spacing w:line="240" w:lineRule="auto"/>
        <w:jc w:val="both"/>
        <w:rPr>
          <w:rFonts w:cstheme="minorHAnsi"/>
        </w:rPr>
      </w:pPr>
      <w:r w:rsidRPr="009E4CBC">
        <w:rPr>
          <w:rFonts w:cstheme="minorHAnsi"/>
        </w:rPr>
        <w:t xml:space="preserve">Lo mismo se hace con los componentes del patrimonio neto, incluyendo el importe total del resultado del período; </w:t>
      </w:r>
    </w:p>
    <w:p w14:paraId="3CEFA33A" w14:textId="0A0275DB" w:rsidR="00751A22" w:rsidRPr="009E4CBC" w:rsidRDefault="00751A22" w:rsidP="009E4CBC">
      <w:pPr>
        <w:pStyle w:val="Prrafodelista"/>
        <w:numPr>
          <w:ilvl w:val="0"/>
          <w:numId w:val="3"/>
        </w:numPr>
        <w:spacing w:line="240" w:lineRule="auto"/>
        <w:jc w:val="both"/>
        <w:rPr>
          <w:rFonts w:cstheme="minorHAnsi"/>
        </w:rPr>
      </w:pPr>
      <w:r w:rsidRPr="009E4CBC">
        <w:rPr>
          <w:rFonts w:cstheme="minorHAnsi"/>
        </w:rPr>
        <w:t>Los componentes del estado de resultados se convierten utilizando los tipos de cambio de la fecha de</w:t>
      </w:r>
      <w:r w:rsidR="0080152A" w:rsidRPr="009E4CBC">
        <w:rPr>
          <w:rFonts w:cstheme="minorHAnsi"/>
        </w:rPr>
        <w:t>l</w:t>
      </w:r>
      <w:r w:rsidR="00CB56AE" w:rsidRPr="009E4CBC">
        <w:rPr>
          <w:rFonts w:cstheme="minorHAnsi"/>
        </w:rPr>
        <w:t xml:space="preserve"> devengamiento. El</w:t>
      </w:r>
      <w:r w:rsidRPr="009E4CBC">
        <w:rPr>
          <w:rFonts w:cstheme="minorHAnsi"/>
        </w:rPr>
        <w:t xml:space="preserve"> SFAS 52 sostiene que debido a que la conversión a los tipos de cambio en las fechas en que se reconocen los numerosos ingresos, gastos, ganancias y pérdidas </w:t>
      </w:r>
      <w:r w:rsidR="0080152A" w:rsidRPr="009E4CBC">
        <w:rPr>
          <w:rFonts w:cstheme="minorHAnsi"/>
        </w:rPr>
        <w:t>no suele ser</w:t>
      </w:r>
      <w:r w:rsidRPr="009E4CBC">
        <w:rPr>
          <w:rFonts w:cstheme="minorHAnsi"/>
        </w:rPr>
        <w:t xml:space="preserve"> práctica, se puede usar un tipo de cambio promedio ponderado para el período para convertir esos elementos.</w:t>
      </w:r>
    </w:p>
    <w:p w14:paraId="0527F761" w14:textId="1C537D92" w:rsidR="00751A22" w:rsidRPr="009E4CBC" w:rsidRDefault="00751A22" w:rsidP="009E4CBC">
      <w:pPr>
        <w:spacing w:line="240" w:lineRule="auto"/>
        <w:ind w:firstLine="708"/>
        <w:jc w:val="both"/>
        <w:rPr>
          <w:rFonts w:cstheme="minorHAnsi"/>
        </w:rPr>
      </w:pPr>
      <w:r w:rsidRPr="009E4CBC">
        <w:rPr>
          <w:rFonts w:cstheme="minorHAnsi"/>
        </w:rPr>
        <w:t>Los ajustes de conversión (dado por la desigualdad entre el resultado del período determinado en el paso 2 y la suma de las cifras convertidas de sus componentes calculadas en el paso 3) son un resultado inherente del proceso de convertir los estados financieros de una entidad extranjera de la moneda funcional a dólares estadounidenses. Los ajustes de conversión no se incluyen en la determinación de la utilidad neta del período, se revelan y acumulan en un componente separado del patrimonio consolidado hasta la venta o hasta que tenga lugar la liquidación de la inversión neta en la entidad extranjera. Tras la venta o la liquidación total o sustancialmente completa de una inversión en una entidad extranjera, el monto atribuible a esa entidad y acumulado en el componente de ajuste de conversión</w:t>
      </w:r>
      <w:r w:rsidR="0080152A" w:rsidRPr="009E4CBC">
        <w:rPr>
          <w:rFonts w:cstheme="minorHAnsi"/>
        </w:rPr>
        <w:t xml:space="preserve"> </w:t>
      </w:r>
      <w:r w:rsidRPr="009E4CBC">
        <w:rPr>
          <w:rFonts w:cstheme="minorHAnsi"/>
        </w:rPr>
        <w:t xml:space="preserve">se eliminará del componente separado del patrimonio y se informará como parte de la ganancia o pérdida en la venta o liquidación de la inversión para el período durante el cual ocurre la </w:t>
      </w:r>
      <w:r w:rsidR="0080152A" w:rsidRPr="009E4CBC">
        <w:rPr>
          <w:rFonts w:cstheme="minorHAnsi"/>
        </w:rPr>
        <w:t>misma</w:t>
      </w:r>
      <w:r w:rsidRPr="009E4CBC">
        <w:rPr>
          <w:rFonts w:cstheme="minorHAnsi"/>
        </w:rPr>
        <w:t>.</w:t>
      </w:r>
      <w:r w:rsidR="002907AC" w:rsidRPr="009E4CBC">
        <w:rPr>
          <w:rFonts w:cstheme="minorHAnsi"/>
        </w:rPr>
        <w:t xml:space="preserve"> </w:t>
      </w:r>
      <w:r w:rsidR="00CB56AE" w:rsidRPr="009E4CBC">
        <w:rPr>
          <w:rFonts w:cstheme="minorHAnsi"/>
        </w:rPr>
        <w:t>Este método establecido por el</w:t>
      </w:r>
      <w:r w:rsidRPr="009E4CBC">
        <w:rPr>
          <w:rFonts w:cstheme="minorHAnsi"/>
        </w:rPr>
        <w:t xml:space="preserve"> SFAS 52, es llamado por Fowler Newton </w:t>
      </w:r>
      <w:r w:rsidR="0080152A" w:rsidRPr="009E4CBC">
        <w:rPr>
          <w:rFonts w:cstheme="minorHAnsi"/>
        </w:rPr>
        <w:t xml:space="preserve">(2010) </w:t>
      </w:r>
      <w:r w:rsidRPr="009E4CBC">
        <w:rPr>
          <w:rFonts w:cstheme="minorHAnsi"/>
        </w:rPr>
        <w:t>como método de la inversión neta, y otros autores</w:t>
      </w:r>
      <w:r w:rsidR="00D256BD" w:rsidRPr="009E4CBC">
        <w:rPr>
          <w:rFonts w:cstheme="minorHAnsi"/>
        </w:rPr>
        <w:t>, como Pahlen Acuña</w:t>
      </w:r>
      <w:r w:rsidR="0080152A" w:rsidRPr="009E4CBC">
        <w:rPr>
          <w:rFonts w:cstheme="minorHAnsi"/>
        </w:rPr>
        <w:t xml:space="preserve"> </w:t>
      </w:r>
      <w:r w:rsidR="00943DB5" w:rsidRPr="009E4CBC">
        <w:rPr>
          <w:rFonts w:cstheme="minorHAnsi"/>
        </w:rPr>
        <w:t xml:space="preserve">et al. </w:t>
      </w:r>
      <w:r w:rsidR="0080152A" w:rsidRPr="009E4CBC">
        <w:rPr>
          <w:rFonts w:cstheme="minorHAnsi"/>
        </w:rPr>
        <w:t>(201</w:t>
      </w:r>
      <w:r w:rsidR="00D16441" w:rsidRPr="009E4CBC">
        <w:rPr>
          <w:rFonts w:cstheme="minorHAnsi"/>
        </w:rPr>
        <w:t>1</w:t>
      </w:r>
      <w:r w:rsidR="0080152A" w:rsidRPr="009E4CBC">
        <w:rPr>
          <w:rFonts w:cstheme="minorHAnsi"/>
        </w:rPr>
        <w:t>)</w:t>
      </w:r>
      <w:r w:rsidR="00D256BD" w:rsidRPr="009E4CBC">
        <w:rPr>
          <w:rFonts w:cstheme="minorHAnsi"/>
        </w:rPr>
        <w:t>,</w:t>
      </w:r>
      <w:r w:rsidRPr="009E4CBC">
        <w:rPr>
          <w:rFonts w:cstheme="minorHAnsi"/>
        </w:rPr>
        <w:t xml:space="preserve"> suelen llamarlo método de la inversión corriente.</w:t>
      </w:r>
    </w:p>
    <w:p w14:paraId="52048A51" w14:textId="60654A0F" w:rsidR="00751A22" w:rsidRPr="009E4CBC" w:rsidRDefault="006C243B">
      <w:pPr>
        <w:spacing w:line="240" w:lineRule="auto"/>
        <w:ind w:firstLine="708"/>
        <w:jc w:val="both"/>
        <w:rPr>
          <w:rFonts w:cstheme="minorHAnsi"/>
        </w:rPr>
      </w:pPr>
      <w:r>
        <w:rPr>
          <w:rFonts w:cstheme="minorHAnsi"/>
        </w:rPr>
        <w:t xml:space="preserve">En la actualidad los </w:t>
      </w:r>
      <w:r w:rsidR="00751A22" w:rsidRPr="009E4CBC">
        <w:rPr>
          <w:rFonts w:cstheme="minorHAnsi"/>
        </w:rPr>
        <w:t xml:space="preserve">Principios de Contabilidad Generalmente Aceptados que rigen la conversión de estados financieros en moneda extranjera y la contabilidad de transacciones en moneda extranjera se encuentran en la </w:t>
      </w:r>
      <w:r w:rsidR="00751A22" w:rsidRPr="009E4CBC">
        <w:rPr>
          <w:rFonts w:cstheme="minorHAnsi"/>
          <w:bCs/>
        </w:rPr>
        <w:t>Accounting Standard Codification (ASC) 830</w:t>
      </w:r>
      <w:r>
        <w:rPr>
          <w:rFonts w:cstheme="minorHAnsi"/>
          <w:bCs/>
        </w:rPr>
        <w:t xml:space="preserve"> denominada</w:t>
      </w:r>
      <w:r w:rsidR="00751A22" w:rsidRPr="009E4CBC">
        <w:rPr>
          <w:rFonts w:cstheme="minorHAnsi"/>
        </w:rPr>
        <w:t xml:space="preserve"> “Cuestiones de moneda extranjera”</w:t>
      </w:r>
      <w:r>
        <w:rPr>
          <w:rFonts w:cstheme="minorHAnsi"/>
        </w:rPr>
        <w:t xml:space="preserve"> (</w:t>
      </w:r>
      <w:r w:rsidRPr="009E4CBC">
        <w:rPr>
          <w:rFonts w:cstheme="minorHAnsi"/>
        </w:rPr>
        <w:t>Flood</w:t>
      </w:r>
      <w:r>
        <w:rPr>
          <w:rFonts w:cstheme="minorHAnsi"/>
        </w:rPr>
        <w:t xml:space="preserve">, </w:t>
      </w:r>
      <w:r w:rsidRPr="009E4CBC">
        <w:rPr>
          <w:rFonts w:cstheme="minorHAnsi"/>
        </w:rPr>
        <w:t>2019)</w:t>
      </w:r>
      <w:r w:rsidR="00751A22" w:rsidRPr="009E4CBC">
        <w:rPr>
          <w:rFonts w:cstheme="minorHAnsi"/>
        </w:rPr>
        <w:t xml:space="preserve">. </w:t>
      </w:r>
      <w:r>
        <w:rPr>
          <w:rFonts w:cstheme="minorHAnsi"/>
        </w:rPr>
        <w:t>En l</w:t>
      </w:r>
      <w:r w:rsidR="00751A22" w:rsidRPr="009E4CBC">
        <w:rPr>
          <w:rFonts w:cstheme="minorHAnsi"/>
        </w:rPr>
        <w:t>a misma</w:t>
      </w:r>
      <w:r>
        <w:rPr>
          <w:rFonts w:cstheme="minorHAnsi"/>
        </w:rPr>
        <w:t xml:space="preserve"> se realizan cuatro supuestos: </w:t>
      </w:r>
      <w:r w:rsidR="00751A22" w:rsidRPr="009E4CBC">
        <w:rPr>
          <w:rFonts w:cstheme="minorHAnsi"/>
        </w:rPr>
        <w:t>la entidad informante</w:t>
      </w:r>
      <w:r w:rsidR="008E022B" w:rsidRPr="009E4CBC">
        <w:rPr>
          <w:rFonts w:cstheme="minorHAnsi"/>
        </w:rPr>
        <w:t xml:space="preserve"> e</w:t>
      </w:r>
      <w:r w:rsidR="00751A22" w:rsidRPr="009E4CBC">
        <w:rPr>
          <w:rFonts w:cstheme="minorHAnsi"/>
        </w:rPr>
        <w:t xml:space="preserve">stá ubicada en los Estados Unidos, </w:t>
      </w:r>
      <w:r w:rsidR="008E022B" w:rsidRPr="009E4CBC">
        <w:rPr>
          <w:rFonts w:cstheme="minorHAnsi"/>
        </w:rPr>
        <w:t>u</w:t>
      </w:r>
      <w:r w:rsidR="00751A22" w:rsidRPr="009E4CBC">
        <w:rPr>
          <w:rFonts w:cstheme="minorHAnsi"/>
        </w:rPr>
        <w:t>tiliza el dólar estadounidense como moneda de presentación,</w:t>
      </w:r>
      <w:r w:rsidR="008E022B" w:rsidRPr="009E4CBC">
        <w:rPr>
          <w:rFonts w:cstheme="minorHAnsi"/>
        </w:rPr>
        <w:t xml:space="preserve"> e</w:t>
      </w:r>
      <w:r w:rsidR="00751A22" w:rsidRPr="009E4CBC">
        <w:rPr>
          <w:rFonts w:cstheme="minorHAnsi"/>
        </w:rPr>
        <w:t>s una empresa operativa con moneda funcional en dólares estadounidenses y</w:t>
      </w:r>
      <w:r w:rsidR="008E022B" w:rsidRPr="009E4CBC">
        <w:rPr>
          <w:rFonts w:cstheme="minorHAnsi"/>
        </w:rPr>
        <w:t xml:space="preserve"> b</w:t>
      </w:r>
      <w:r w:rsidR="00751A22" w:rsidRPr="009E4CBC">
        <w:rPr>
          <w:rFonts w:cstheme="minorHAnsi"/>
        </w:rPr>
        <w:t>rinda apoyo a sus operaciones en el extranjero</w:t>
      </w:r>
      <w:r w:rsidR="0080152A" w:rsidRPr="009E4CBC">
        <w:rPr>
          <w:rFonts w:cstheme="minorHAnsi"/>
        </w:rPr>
        <w:t>.</w:t>
      </w:r>
      <w:r>
        <w:rPr>
          <w:rFonts w:cstheme="minorHAnsi"/>
        </w:rPr>
        <w:t xml:space="preserve"> </w:t>
      </w:r>
    </w:p>
    <w:p w14:paraId="343A357F" w14:textId="546D589A" w:rsidR="00751A22" w:rsidRPr="009E4CBC" w:rsidRDefault="00751A22" w:rsidP="009E4CBC">
      <w:pPr>
        <w:spacing w:line="240" w:lineRule="auto"/>
        <w:ind w:firstLine="708"/>
        <w:jc w:val="both"/>
        <w:rPr>
          <w:rFonts w:cstheme="minorHAnsi"/>
        </w:rPr>
      </w:pPr>
      <w:r w:rsidRPr="009E4CBC">
        <w:rPr>
          <w:rFonts w:cstheme="minorHAnsi"/>
        </w:rPr>
        <w:t>Para preparar estados financieros consolidados, los montos denominados en moneda extranjera</w:t>
      </w:r>
      <w:r w:rsidR="008E022B" w:rsidRPr="009E4CBC">
        <w:rPr>
          <w:rFonts w:cstheme="minorHAnsi"/>
        </w:rPr>
        <w:t xml:space="preserve"> deben ser m</w:t>
      </w:r>
      <w:r w:rsidRPr="009E4CBC">
        <w:rPr>
          <w:rFonts w:cstheme="minorHAnsi"/>
        </w:rPr>
        <w:t>edidos nuevame</w:t>
      </w:r>
      <w:r w:rsidR="008E022B" w:rsidRPr="009E4CBC">
        <w:rPr>
          <w:rFonts w:cstheme="minorHAnsi"/>
        </w:rPr>
        <w:t>nte en la moneda de reporte y/</w:t>
      </w:r>
      <w:r w:rsidRPr="009E4CBC">
        <w:rPr>
          <w:rFonts w:cstheme="minorHAnsi"/>
        </w:rPr>
        <w:t>o</w:t>
      </w:r>
      <w:r w:rsidR="008E022B" w:rsidRPr="009E4CBC">
        <w:rPr>
          <w:rFonts w:cstheme="minorHAnsi"/>
        </w:rPr>
        <w:t xml:space="preserve"> convertidos</w:t>
      </w:r>
      <w:r w:rsidRPr="009E4CBC">
        <w:rPr>
          <w:rFonts w:cstheme="minorHAnsi"/>
        </w:rPr>
        <w:t xml:space="preserve"> a la moneda del informe.</w:t>
      </w:r>
      <w:r w:rsidR="00B47085">
        <w:rPr>
          <w:rFonts w:cstheme="minorHAnsi"/>
        </w:rPr>
        <w:t xml:space="preserve"> </w:t>
      </w:r>
      <w:r w:rsidRPr="009E4CBC">
        <w:rPr>
          <w:rFonts w:cstheme="minorHAnsi"/>
        </w:rPr>
        <w:t xml:space="preserve">Dicho proceso conlleva ciertos pasos: </w:t>
      </w:r>
    </w:p>
    <w:p w14:paraId="382318C9" w14:textId="22904E8F" w:rsidR="00751A22" w:rsidRPr="009E4CBC" w:rsidRDefault="00751A22" w:rsidP="009E4CBC">
      <w:pPr>
        <w:pStyle w:val="Prrafodelista"/>
        <w:numPr>
          <w:ilvl w:val="0"/>
          <w:numId w:val="6"/>
        </w:numPr>
        <w:spacing w:line="240" w:lineRule="auto"/>
        <w:jc w:val="both"/>
        <w:rPr>
          <w:rFonts w:cstheme="minorHAnsi"/>
        </w:rPr>
      </w:pPr>
      <w:r w:rsidRPr="009E4CBC">
        <w:rPr>
          <w:rFonts w:cstheme="minorHAnsi"/>
        </w:rPr>
        <w:t xml:space="preserve">Determinar la moneda funcional de cada entidad extranjera. </w:t>
      </w:r>
    </w:p>
    <w:p w14:paraId="357AB415" w14:textId="1045418A" w:rsidR="00751A22" w:rsidRPr="009E4CBC" w:rsidRDefault="00751A22" w:rsidP="009E4CBC">
      <w:pPr>
        <w:pStyle w:val="Prrafodelista"/>
        <w:numPr>
          <w:ilvl w:val="0"/>
          <w:numId w:val="6"/>
        </w:numPr>
        <w:spacing w:line="240" w:lineRule="auto"/>
        <w:jc w:val="both"/>
        <w:rPr>
          <w:rFonts w:cstheme="minorHAnsi"/>
        </w:rPr>
      </w:pPr>
      <w:r w:rsidRPr="009E4CBC">
        <w:rPr>
          <w:rFonts w:cstheme="minorHAnsi"/>
        </w:rPr>
        <w:t xml:space="preserve">Volver a medir en su moneda funcional los saldos de las cuentas de cada entidad no denominados en </w:t>
      </w:r>
      <w:r w:rsidR="0080152A" w:rsidRPr="009E4CBC">
        <w:rPr>
          <w:rFonts w:cstheme="minorHAnsi"/>
        </w:rPr>
        <w:t>su</w:t>
      </w:r>
      <w:r w:rsidR="006C243B">
        <w:rPr>
          <w:rFonts w:cstheme="minorHAnsi"/>
        </w:rPr>
        <w:t xml:space="preserve"> </w:t>
      </w:r>
      <w:r w:rsidRPr="009E4CBC">
        <w:rPr>
          <w:rFonts w:cstheme="minorHAnsi"/>
        </w:rPr>
        <w:t>moneda funcional</w:t>
      </w:r>
      <w:r w:rsidR="0080152A" w:rsidRPr="009E4CBC">
        <w:rPr>
          <w:rFonts w:cstheme="minorHAnsi"/>
        </w:rPr>
        <w:t>.</w:t>
      </w:r>
    </w:p>
    <w:p w14:paraId="3F5B5408" w14:textId="77D0F35F" w:rsidR="00751A22" w:rsidRPr="009E4CBC" w:rsidRDefault="00751A22" w:rsidP="009E4CBC">
      <w:pPr>
        <w:pStyle w:val="Prrafodelista"/>
        <w:numPr>
          <w:ilvl w:val="0"/>
          <w:numId w:val="6"/>
        </w:numPr>
        <w:spacing w:line="240" w:lineRule="auto"/>
        <w:jc w:val="both"/>
        <w:rPr>
          <w:rFonts w:cstheme="minorHAnsi"/>
        </w:rPr>
      </w:pPr>
      <w:r w:rsidRPr="009E4CBC">
        <w:rPr>
          <w:rFonts w:cstheme="minorHAnsi"/>
        </w:rPr>
        <w:t xml:space="preserve">Convertir los estados financieros de las entidades extranjeras a la moneda de presentación de la empresa matriz. </w:t>
      </w:r>
    </w:p>
    <w:p w14:paraId="2DB39EE8" w14:textId="77777777" w:rsidR="00751A22" w:rsidRPr="009E4CBC" w:rsidRDefault="00751A22" w:rsidP="009E4CBC">
      <w:pPr>
        <w:pStyle w:val="Prrafodelista"/>
        <w:numPr>
          <w:ilvl w:val="0"/>
          <w:numId w:val="6"/>
        </w:numPr>
        <w:spacing w:line="240" w:lineRule="auto"/>
        <w:jc w:val="both"/>
        <w:rPr>
          <w:rFonts w:cstheme="minorHAnsi"/>
        </w:rPr>
      </w:pPr>
      <w:r w:rsidRPr="009E4CBC">
        <w:rPr>
          <w:rFonts w:cstheme="minorHAnsi"/>
        </w:rPr>
        <w:t>Evaluar si la cuenta de conversión acumulada debe liberarse en ingresos netos.</w:t>
      </w:r>
    </w:p>
    <w:p w14:paraId="5EE4089D" w14:textId="110A2796" w:rsidR="00751A22" w:rsidRPr="009E4CBC" w:rsidRDefault="00751A22" w:rsidP="009E4CBC">
      <w:pPr>
        <w:spacing w:line="240" w:lineRule="auto"/>
        <w:ind w:firstLine="708"/>
        <w:jc w:val="both"/>
        <w:rPr>
          <w:rFonts w:cstheme="minorHAnsi"/>
        </w:rPr>
      </w:pPr>
      <w:r w:rsidRPr="009E4CBC">
        <w:rPr>
          <w:rFonts w:cstheme="minorHAnsi"/>
        </w:rPr>
        <w:t xml:space="preserve">En cuanto a la determinación de la moneda funcional, antes de que los estados financieros de una sucursal, división o subsidiaria extranjera se conviertan a dólares estadounidenses, la administración de </w:t>
      </w:r>
      <w:r w:rsidR="00B10C99">
        <w:rPr>
          <w:rFonts w:cstheme="minorHAnsi"/>
        </w:rPr>
        <w:t>la matriz</w:t>
      </w:r>
      <w:r w:rsidRPr="009E4CBC">
        <w:rPr>
          <w:rFonts w:cstheme="minorHAnsi"/>
        </w:rPr>
        <w:t xml:space="preserve"> debe determinar </w:t>
      </w:r>
      <w:r w:rsidR="00B47085">
        <w:rPr>
          <w:rFonts w:cstheme="minorHAnsi"/>
        </w:rPr>
        <w:t>cuál es la</w:t>
      </w:r>
      <w:r w:rsidR="00B47085" w:rsidRPr="009E4CBC">
        <w:rPr>
          <w:rFonts w:cstheme="minorHAnsi"/>
        </w:rPr>
        <w:t xml:space="preserve"> </w:t>
      </w:r>
      <w:r w:rsidRPr="009E4CBC">
        <w:rPr>
          <w:rFonts w:cstheme="minorHAnsi"/>
        </w:rPr>
        <w:t xml:space="preserve">moneda funcional </w:t>
      </w:r>
      <w:r w:rsidRPr="009E4CBC">
        <w:rPr>
          <w:rFonts w:cstheme="minorHAnsi"/>
        </w:rPr>
        <w:lastRenderedPageBreak/>
        <w:t>de la entidad extranjera. La moneda funcional es la del entorno económico principal en el que opera la entidad</w:t>
      </w:r>
      <w:r w:rsidR="008D036A">
        <w:rPr>
          <w:rFonts w:cstheme="minorHAnsi"/>
        </w:rPr>
        <w:t>,</w:t>
      </w:r>
      <w:r w:rsidRPr="009E4CBC">
        <w:rPr>
          <w:rFonts w:cstheme="minorHAnsi"/>
        </w:rPr>
        <w:t xml:space="preserve"> normalmente, en el que la </w:t>
      </w:r>
      <w:r w:rsidR="008D036A">
        <w:rPr>
          <w:rFonts w:cstheme="minorHAnsi"/>
        </w:rPr>
        <w:t>misma</w:t>
      </w:r>
      <w:r w:rsidR="008D036A" w:rsidRPr="009E4CBC">
        <w:rPr>
          <w:rFonts w:cstheme="minorHAnsi"/>
        </w:rPr>
        <w:t xml:space="preserve"> </w:t>
      </w:r>
      <w:r w:rsidRPr="009E4CBC">
        <w:rPr>
          <w:rFonts w:cstheme="minorHAnsi"/>
        </w:rPr>
        <w:t>genera y gasta efectivo. La FASB enumeró varios factores que tenían la intención de brindar orientación a la administración al tomar la decisión de moneda funcional</w:t>
      </w:r>
      <w:r w:rsidR="0080152A" w:rsidRPr="009E4CBC">
        <w:rPr>
          <w:rFonts w:cstheme="minorHAnsi"/>
        </w:rPr>
        <w:t>, los cuales incluyen:</w:t>
      </w:r>
    </w:p>
    <w:p w14:paraId="6D2B632C" w14:textId="77777777" w:rsidR="00751A22" w:rsidRPr="009E4CBC" w:rsidRDefault="00751A22" w:rsidP="009E4CBC">
      <w:pPr>
        <w:pStyle w:val="Prrafodelista"/>
        <w:numPr>
          <w:ilvl w:val="0"/>
          <w:numId w:val="28"/>
        </w:numPr>
        <w:spacing w:line="240" w:lineRule="auto"/>
        <w:jc w:val="both"/>
        <w:rPr>
          <w:rFonts w:cstheme="minorHAnsi"/>
        </w:rPr>
      </w:pPr>
      <w:r w:rsidRPr="009E4CBC">
        <w:rPr>
          <w:rFonts w:cstheme="minorHAnsi"/>
        </w:rPr>
        <w:t>Flujo de caja. ¿Los flujos de efectivo de la entidad extranjera afectan directamente los flujos de efectivo de la matriz y están disponibles inmediatamente para su envío a la matriz?</w:t>
      </w:r>
    </w:p>
    <w:p w14:paraId="34887DA8" w14:textId="77777777" w:rsidR="00751A22" w:rsidRPr="009E4CBC" w:rsidRDefault="00751A22" w:rsidP="009E4CBC">
      <w:pPr>
        <w:pStyle w:val="Prrafodelista"/>
        <w:numPr>
          <w:ilvl w:val="0"/>
          <w:numId w:val="28"/>
        </w:numPr>
        <w:spacing w:line="240" w:lineRule="auto"/>
        <w:jc w:val="both"/>
        <w:rPr>
          <w:rFonts w:cstheme="minorHAnsi"/>
        </w:rPr>
      </w:pPr>
      <w:r w:rsidRPr="009E4CBC">
        <w:rPr>
          <w:rFonts w:cstheme="minorHAnsi"/>
        </w:rPr>
        <w:t>Precios de venta. ¿Los precios de venta de la entidad extranjera responden a las variaciones del tipo de cambio y a la competencia internacional?</w:t>
      </w:r>
    </w:p>
    <w:p w14:paraId="73495472" w14:textId="77777777" w:rsidR="00751A22" w:rsidRPr="009E4CBC" w:rsidRDefault="00751A22" w:rsidP="009E4CBC">
      <w:pPr>
        <w:pStyle w:val="Prrafodelista"/>
        <w:numPr>
          <w:ilvl w:val="0"/>
          <w:numId w:val="28"/>
        </w:numPr>
        <w:spacing w:line="240" w:lineRule="auto"/>
        <w:jc w:val="both"/>
        <w:rPr>
          <w:rFonts w:cstheme="minorHAnsi"/>
        </w:rPr>
      </w:pPr>
      <w:r w:rsidRPr="009E4CBC">
        <w:rPr>
          <w:rFonts w:cstheme="minorHAnsi"/>
        </w:rPr>
        <w:t>Mercados de ventas. ¿El mercado de ventas de la entidad extranjera es el país de la matriz o las ventas están denominadas en la moneda de la matriz?</w:t>
      </w:r>
    </w:p>
    <w:p w14:paraId="5F397F04" w14:textId="77777777" w:rsidR="00751A22" w:rsidRPr="009E4CBC" w:rsidRDefault="00751A22" w:rsidP="009E4CBC">
      <w:pPr>
        <w:pStyle w:val="Prrafodelista"/>
        <w:numPr>
          <w:ilvl w:val="0"/>
          <w:numId w:val="28"/>
        </w:numPr>
        <w:spacing w:line="240" w:lineRule="auto"/>
        <w:jc w:val="both"/>
        <w:rPr>
          <w:rFonts w:cstheme="minorHAnsi"/>
        </w:rPr>
      </w:pPr>
      <w:r w:rsidRPr="009E4CBC">
        <w:rPr>
          <w:rFonts w:cstheme="minorHAnsi"/>
        </w:rPr>
        <w:t>Gastos. ¿Se incurre en los gastos de la entidad extranjera principalmente en el país de la matriz?</w:t>
      </w:r>
    </w:p>
    <w:p w14:paraId="3BCAA1FB" w14:textId="77777777" w:rsidR="00751A22" w:rsidRPr="009E4CBC" w:rsidRDefault="00751A22" w:rsidP="009E4CBC">
      <w:pPr>
        <w:pStyle w:val="Prrafodelista"/>
        <w:numPr>
          <w:ilvl w:val="0"/>
          <w:numId w:val="28"/>
        </w:numPr>
        <w:spacing w:line="240" w:lineRule="auto"/>
        <w:jc w:val="both"/>
        <w:rPr>
          <w:rFonts w:cstheme="minorHAnsi"/>
        </w:rPr>
      </w:pPr>
      <w:r w:rsidRPr="009E4CBC">
        <w:rPr>
          <w:rFonts w:cstheme="minorHAnsi"/>
        </w:rPr>
        <w:t>Financiación. ¿El financiamiento de la entidad extranjera proviene principalmente de la matriz o está denominado en la moneda de la matriz?</w:t>
      </w:r>
    </w:p>
    <w:p w14:paraId="67B4F8BE" w14:textId="77777777" w:rsidR="00751A22" w:rsidRPr="009E4CBC" w:rsidRDefault="00751A22" w:rsidP="009E4CBC">
      <w:pPr>
        <w:pStyle w:val="Prrafodelista"/>
        <w:numPr>
          <w:ilvl w:val="0"/>
          <w:numId w:val="28"/>
        </w:numPr>
        <w:spacing w:line="240" w:lineRule="auto"/>
        <w:jc w:val="both"/>
        <w:rPr>
          <w:rFonts w:cstheme="minorHAnsi"/>
        </w:rPr>
      </w:pPr>
      <w:r w:rsidRPr="009E4CBC">
        <w:rPr>
          <w:rFonts w:cstheme="minorHAnsi"/>
        </w:rPr>
        <w:t>Transacciones entre empresas. ¿Existe un alto volumen de transacciones entre compañías entre la matriz y la entidad extranjera?</w:t>
      </w:r>
    </w:p>
    <w:p w14:paraId="2CDEA2B3" w14:textId="28D709AD" w:rsidR="00751A22" w:rsidRPr="009E4CBC" w:rsidRDefault="00751A22" w:rsidP="009E4CBC">
      <w:pPr>
        <w:spacing w:line="240" w:lineRule="auto"/>
        <w:ind w:firstLine="708"/>
        <w:jc w:val="both"/>
        <w:rPr>
          <w:rFonts w:cstheme="minorHAnsi"/>
        </w:rPr>
      </w:pPr>
      <w:r w:rsidRPr="009E4CBC">
        <w:rPr>
          <w:rFonts w:cstheme="minorHAnsi"/>
        </w:rPr>
        <w:t xml:space="preserve">Si las respuestas a las preguntas anteriores son predominantemente sí, la moneda funcional es la moneda de </w:t>
      </w:r>
      <w:r w:rsidR="0080152A" w:rsidRPr="009E4CBC">
        <w:rPr>
          <w:rFonts w:cstheme="minorHAnsi"/>
        </w:rPr>
        <w:t>presentación</w:t>
      </w:r>
      <w:r w:rsidRPr="009E4CBC">
        <w:rPr>
          <w:rFonts w:cstheme="minorHAnsi"/>
        </w:rPr>
        <w:t xml:space="preserve"> de la entidad matriz (es decir, el dólar estadounidense). Si las respuestas son predominantemente no, </w:t>
      </w:r>
      <w:r w:rsidR="0080152A" w:rsidRPr="009E4CBC">
        <w:rPr>
          <w:rFonts w:cstheme="minorHAnsi"/>
        </w:rPr>
        <w:t>es probable</w:t>
      </w:r>
      <w:r w:rsidRPr="009E4CBC">
        <w:rPr>
          <w:rFonts w:cstheme="minorHAnsi"/>
        </w:rPr>
        <w:t xml:space="preserve"> que la moneda funcional sea la moneda local de la entidad extranjera, aunque es posible</w:t>
      </w:r>
      <w:r w:rsidR="0080152A" w:rsidRPr="009E4CBC">
        <w:rPr>
          <w:rFonts w:cstheme="minorHAnsi"/>
        </w:rPr>
        <w:t xml:space="preserve"> también</w:t>
      </w:r>
      <w:r w:rsidRPr="009E4CBC">
        <w:rPr>
          <w:rFonts w:cstheme="minorHAnsi"/>
        </w:rPr>
        <w:t xml:space="preserve"> que una moneda extranjera diferente a la moneda local sea </w:t>
      </w:r>
      <w:r w:rsidR="0080152A" w:rsidRPr="009E4CBC">
        <w:rPr>
          <w:rFonts w:cstheme="minorHAnsi"/>
        </w:rPr>
        <w:t>su</w:t>
      </w:r>
      <w:r w:rsidRPr="009E4CBC">
        <w:rPr>
          <w:rFonts w:cstheme="minorHAnsi"/>
        </w:rPr>
        <w:t xml:space="preserve"> moneda funcional.</w:t>
      </w:r>
      <w:r w:rsidR="002907AC" w:rsidRPr="009E4CBC">
        <w:rPr>
          <w:rFonts w:cstheme="minorHAnsi"/>
        </w:rPr>
        <w:t xml:space="preserve"> </w:t>
      </w:r>
      <w:r w:rsidRPr="009E4CBC">
        <w:rPr>
          <w:rFonts w:cstheme="minorHAnsi"/>
        </w:rPr>
        <w:t>La decisión de la moneda funcional es determinante porque se aplican diferentes métodos de conversión que pueden tener un efecto material en los estados financieros de la entidad estadounidense.</w:t>
      </w:r>
    </w:p>
    <w:p w14:paraId="74146C7D" w14:textId="43D10921" w:rsidR="00751A22" w:rsidRPr="009E4CBC" w:rsidRDefault="00751A22" w:rsidP="009E4CBC">
      <w:pPr>
        <w:spacing w:line="240" w:lineRule="auto"/>
        <w:ind w:firstLine="708"/>
        <w:jc w:val="both"/>
        <w:rPr>
          <w:rFonts w:cstheme="minorHAnsi"/>
        </w:rPr>
      </w:pPr>
      <w:r w:rsidRPr="009E4CBC">
        <w:rPr>
          <w:rFonts w:cstheme="minorHAnsi"/>
        </w:rPr>
        <w:t>Si los registros financieros se mantienen en la moneda funcional de la entidad extranjera, se deben convertir los estados financieros de la entidad extranjera de su moneda funcional a la moneda de presentación y para ello se aplica el método de la tasa corriente</w:t>
      </w:r>
      <w:r w:rsidR="00B47085">
        <w:rPr>
          <w:rFonts w:cstheme="minorHAnsi"/>
        </w:rPr>
        <w:t>,</w:t>
      </w:r>
      <w:r w:rsidR="005208CB">
        <w:rPr>
          <w:rFonts w:cstheme="minorHAnsi"/>
        </w:rPr>
        <w:t xml:space="preserve"> también conocido como método corriente</w:t>
      </w:r>
      <w:r w:rsidRPr="009E4CBC">
        <w:rPr>
          <w:rFonts w:cstheme="minorHAnsi"/>
        </w:rPr>
        <w:t>. Los activos y pasivos se convierten al tipo de cambio a la fecha del balance</w:t>
      </w:r>
      <w:r w:rsidR="00D57020" w:rsidRPr="009E4CBC">
        <w:rPr>
          <w:rFonts w:cstheme="minorHAnsi"/>
        </w:rPr>
        <w:t xml:space="preserve"> y l</w:t>
      </w:r>
      <w:r w:rsidRPr="009E4CBC">
        <w:rPr>
          <w:rFonts w:cstheme="minorHAnsi"/>
        </w:rPr>
        <w:t xml:space="preserve">os ingresos y gastos se convierten a las tasas vigentes cuando ocurren las transacciones </w:t>
      </w:r>
      <w:r w:rsidR="00D57020" w:rsidRPr="009E4CBC">
        <w:rPr>
          <w:rFonts w:cstheme="minorHAnsi"/>
        </w:rPr>
        <w:t>teniendo en cuenta que</w:t>
      </w:r>
      <w:r w:rsidRPr="009E4CBC">
        <w:rPr>
          <w:rFonts w:cstheme="minorHAnsi"/>
        </w:rPr>
        <w:t xml:space="preserve"> aquellos que ocurren de manera uniforme durante el año se pueden convertir a la tasa promedio ponderada del año. </w:t>
      </w:r>
      <w:r w:rsidR="005A311D" w:rsidRPr="009E4CBC">
        <w:rPr>
          <w:rFonts w:cstheme="minorHAnsi"/>
        </w:rPr>
        <w:t>Según la guía de PricewaterhouseCoopers (2019) referida a moneda extranjera, r</w:t>
      </w:r>
      <w:r w:rsidRPr="009E4CBC">
        <w:rPr>
          <w:rFonts w:cstheme="minorHAnsi"/>
        </w:rPr>
        <w:t xml:space="preserve">especto a las partidas de patrimonio neto, se utilizan tipos de cambio históricos a la fecha en que se registró el asiento en el capital contable, excepto por el cambio en las utilidades retenidas durante el año, que se convierten utilizando los tipos de cambio históricos utilizados para convertir el estado de resultados de cada período. La base teórica del método de tasa corriente es el "concepto de inversión neta", en el que la entidad extranjera se considera una entidad separada en la que invirtió la matriz, en lugar de ser considerada parte de las operaciones de la matriz. El razonamiento de FASB fue que los usuarios de los estados financieros pueden beneficiarse más cuando la información proporcionada sobre la entidad extranjera </w:t>
      </w:r>
      <w:r w:rsidR="002A7E72" w:rsidRPr="009E4CBC">
        <w:rPr>
          <w:rFonts w:cstheme="minorHAnsi"/>
        </w:rPr>
        <w:t>mantiene</w:t>
      </w:r>
      <w:r w:rsidRPr="009E4CBC">
        <w:rPr>
          <w:rFonts w:cstheme="minorHAnsi"/>
        </w:rPr>
        <w:t xml:space="preserve"> las relaciones y los resultados creados en el entorno (económico, legal y político) en el que opera la </w:t>
      </w:r>
      <w:r w:rsidR="002A7E72" w:rsidRPr="009E4CBC">
        <w:rPr>
          <w:rFonts w:cstheme="minorHAnsi"/>
        </w:rPr>
        <w:t>misma</w:t>
      </w:r>
      <w:r w:rsidRPr="009E4CBC">
        <w:rPr>
          <w:rFonts w:cstheme="minorHAnsi"/>
        </w:rPr>
        <w:t>. La conversión de todos los activos y pasivos a la misma tasa corriente logra este objetivo.</w:t>
      </w:r>
    </w:p>
    <w:p w14:paraId="4E92F1D8" w14:textId="01BDCE10" w:rsidR="00751A22" w:rsidRPr="009E4CBC" w:rsidRDefault="00751A22" w:rsidP="009E4CBC">
      <w:pPr>
        <w:spacing w:line="240" w:lineRule="auto"/>
        <w:ind w:firstLine="708"/>
        <w:jc w:val="both"/>
        <w:rPr>
          <w:rFonts w:cstheme="minorHAnsi"/>
        </w:rPr>
      </w:pPr>
      <w:r w:rsidRPr="009E4CBC">
        <w:rPr>
          <w:rFonts w:cstheme="minorHAnsi"/>
        </w:rPr>
        <w:t>Si los registros financieros no se mantienen en la moneda funcional de la entidad extranjera, se deben volver a medir los estados financieros de la entidad extranjera en la moneda funcional y luego, convertir la moneda funcional de la entidad extranjera a la moneda de</w:t>
      </w:r>
      <w:r w:rsidR="002A7E72" w:rsidRPr="009E4CBC">
        <w:rPr>
          <w:rFonts w:cstheme="minorHAnsi"/>
        </w:rPr>
        <w:t xml:space="preserve"> presentación</w:t>
      </w:r>
      <w:r w:rsidRPr="009E4CBC">
        <w:rPr>
          <w:rFonts w:cstheme="minorHAnsi"/>
        </w:rPr>
        <w:t>. Para ello se debe aplicar el método de remedición, que se ha denominado método monetario-no monetario. Este método convierte los activos monetarios (efectivo y otros activos y pasivos que se liquidarán en efectivo) al tipo de cambio de cierre</w:t>
      </w:r>
      <w:r w:rsidR="002A7E72" w:rsidRPr="009E4CBC">
        <w:rPr>
          <w:rFonts w:cstheme="minorHAnsi"/>
        </w:rPr>
        <w:t>, mientras que l</w:t>
      </w:r>
      <w:r w:rsidRPr="009E4CBC">
        <w:rPr>
          <w:rFonts w:cstheme="minorHAnsi"/>
        </w:rPr>
        <w:t xml:space="preserve">os activos, pasivos y capital contable no monetarios se convierten a las tasas históricas </w:t>
      </w:r>
      <w:r w:rsidRPr="009E4CBC">
        <w:rPr>
          <w:rFonts w:cstheme="minorHAnsi"/>
        </w:rPr>
        <w:lastRenderedPageBreak/>
        <w:t xml:space="preserve">apropiadas, es decir, el tipo de cambio a la fecha en que se originó la transacción que involucra la </w:t>
      </w:r>
      <w:r w:rsidR="002A7E72" w:rsidRPr="009E4CBC">
        <w:rPr>
          <w:rFonts w:cstheme="minorHAnsi"/>
        </w:rPr>
        <w:t>partida</w:t>
      </w:r>
      <w:r w:rsidRPr="009E4CBC">
        <w:rPr>
          <w:rFonts w:cstheme="minorHAnsi"/>
        </w:rPr>
        <w:t xml:space="preserve"> no monetaria. Además, los montos del estado de resultados relacionados con los activos y pasivos no </w:t>
      </w:r>
      <w:r w:rsidR="002907AC" w:rsidRPr="009E4CBC">
        <w:rPr>
          <w:rFonts w:cstheme="minorHAnsi"/>
        </w:rPr>
        <w:t>monetarios</w:t>
      </w:r>
      <w:r w:rsidRPr="009E4CBC">
        <w:rPr>
          <w:rFonts w:cstheme="minorHAnsi"/>
        </w:rPr>
        <w:t xml:space="preserve"> se convierten a la misma tasa utilizada para la </w:t>
      </w:r>
      <w:r w:rsidR="00D256BD" w:rsidRPr="009E4CBC">
        <w:rPr>
          <w:rFonts w:cstheme="minorHAnsi"/>
        </w:rPr>
        <w:t>conversión</w:t>
      </w:r>
      <w:r w:rsidRPr="009E4CBC">
        <w:rPr>
          <w:rFonts w:cstheme="minorHAnsi"/>
        </w:rPr>
        <w:t xml:space="preserve"> del estado de situación financiera relacionado. </w:t>
      </w:r>
      <w:r w:rsidR="00D256BD" w:rsidRPr="009E4CBC">
        <w:rPr>
          <w:rFonts w:cstheme="minorHAnsi"/>
        </w:rPr>
        <w:t>Los demás</w:t>
      </w:r>
      <w:r w:rsidRPr="009E4CBC">
        <w:rPr>
          <w:rFonts w:cstheme="minorHAnsi"/>
        </w:rPr>
        <w:t xml:space="preserve"> ingresos y gastos que ocurran de manera uniforme durante el año se pueden convertir al tipo de cambio promedio ponderado vigente durante el período</w:t>
      </w:r>
    </w:p>
    <w:p w14:paraId="7654BDD0" w14:textId="09EC44DE" w:rsidR="00751A22" w:rsidRPr="009E4CBC" w:rsidRDefault="001A58F7" w:rsidP="009E4CBC">
      <w:pPr>
        <w:spacing w:line="240" w:lineRule="auto"/>
        <w:ind w:firstLine="708"/>
        <w:jc w:val="both"/>
        <w:rPr>
          <w:rFonts w:cstheme="minorHAnsi"/>
        </w:rPr>
      </w:pPr>
      <w:r w:rsidRPr="009E4CBC">
        <w:rPr>
          <w:rFonts w:cstheme="minorHAnsi"/>
        </w:rPr>
        <w:t xml:space="preserve">Según la guía de </w:t>
      </w:r>
      <w:r w:rsidR="000D2BE4" w:rsidRPr="009E4CBC">
        <w:rPr>
          <w:rFonts w:cstheme="minorHAnsi"/>
        </w:rPr>
        <w:t>PricewaterhouseCoopers</w:t>
      </w:r>
      <w:r w:rsidRPr="009E4CBC">
        <w:rPr>
          <w:rFonts w:cstheme="minorHAnsi"/>
        </w:rPr>
        <w:t xml:space="preserve"> (2019), s</w:t>
      </w:r>
      <w:r w:rsidR="00751A22" w:rsidRPr="009E4CBC">
        <w:rPr>
          <w:rFonts w:cstheme="minorHAnsi"/>
        </w:rPr>
        <w:t>i la moneda funcional de una entidad es una moneda extranjera, los ajustes de conversión resultan del proceso de convertir los estados financieros de la entidad a la moneda de presentación. Los ajustes de conversión no se incluirán en la determinación de la utilidad neta, pero se informarán en otro resultado integral</w:t>
      </w:r>
      <w:r w:rsidR="00DE3CE6">
        <w:rPr>
          <w:rFonts w:cstheme="minorHAnsi"/>
        </w:rPr>
        <w:t xml:space="preserve"> (</w:t>
      </w:r>
      <w:r w:rsidR="00DE3CE6" w:rsidRPr="00DE3CE6">
        <w:rPr>
          <w:rFonts w:cstheme="minorHAnsi"/>
        </w:rPr>
        <w:t>Other Comprehensive Income</w:t>
      </w:r>
      <w:r w:rsidR="00DE3CE6">
        <w:rPr>
          <w:rFonts w:cstheme="minorHAnsi"/>
        </w:rPr>
        <w:t>)</w:t>
      </w:r>
      <w:r w:rsidR="00751A22" w:rsidRPr="009E4CBC">
        <w:rPr>
          <w:rFonts w:cstheme="minorHAnsi"/>
        </w:rPr>
        <w:t>. Este tratamiento se diferencia de las ganancias y pérdidas cambiarias que se registran en la utilidad neta como resultado de los procesos de medición y remedición.</w:t>
      </w:r>
    </w:p>
    <w:p w14:paraId="07E6D243" w14:textId="77777777" w:rsidR="00751A22" w:rsidRPr="009E4CBC" w:rsidRDefault="00751A22" w:rsidP="009E4CBC">
      <w:pPr>
        <w:spacing w:line="240" w:lineRule="auto"/>
        <w:ind w:left="360"/>
        <w:rPr>
          <w:rFonts w:cstheme="minorHAnsi"/>
        </w:rPr>
      </w:pPr>
    </w:p>
    <w:p w14:paraId="334235BE" w14:textId="0D5C0799" w:rsidR="009E4CBC" w:rsidRPr="009E4CBC" w:rsidRDefault="00B22348" w:rsidP="009E4CBC">
      <w:pPr>
        <w:pStyle w:val="Ttulo2"/>
        <w:spacing w:before="240" w:line="240" w:lineRule="auto"/>
        <w:rPr>
          <w:rFonts w:cstheme="minorHAnsi"/>
        </w:rPr>
      </w:pPr>
      <w:r>
        <w:rPr>
          <w:rFonts w:cstheme="minorHAnsi"/>
        </w:rPr>
        <w:t xml:space="preserve"> </w:t>
      </w:r>
      <w:r w:rsidR="00F93AFA" w:rsidRPr="009E4CBC">
        <w:rPr>
          <w:rFonts w:cstheme="minorHAnsi"/>
        </w:rPr>
        <w:t xml:space="preserve">Regulación contable </w:t>
      </w:r>
      <w:proofErr w:type="gramStart"/>
      <w:r w:rsidR="00F93AFA" w:rsidRPr="009E4CBC">
        <w:rPr>
          <w:rFonts w:cstheme="minorHAnsi"/>
        </w:rPr>
        <w:t>de acuerdo a</w:t>
      </w:r>
      <w:proofErr w:type="gramEnd"/>
      <w:r w:rsidR="00F93AFA" w:rsidRPr="009E4CBC">
        <w:rPr>
          <w:rFonts w:cstheme="minorHAnsi"/>
        </w:rPr>
        <w:t xml:space="preserve"> las normas</w:t>
      </w:r>
      <w:r w:rsidR="009E4CBC" w:rsidRPr="009E4CBC">
        <w:rPr>
          <w:rFonts w:cstheme="minorHAnsi"/>
        </w:rPr>
        <w:t xml:space="preserve"> internacionales de contabilidad</w:t>
      </w:r>
    </w:p>
    <w:p w14:paraId="7FB0851D" w14:textId="77777777" w:rsidR="009E4CBC" w:rsidRPr="009E4CBC" w:rsidRDefault="009E4CBC" w:rsidP="009E4CBC">
      <w:pPr>
        <w:rPr>
          <w:rFonts w:cstheme="minorHAnsi"/>
          <w:lang w:val="es-419"/>
        </w:rPr>
      </w:pPr>
    </w:p>
    <w:p w14:paraId="382DA214" w14:textId="1FC784C7" w:rsidR="009E4CBC" w:rsidRPr="009E4CBC" w:rsidRDefault="00F93AFA" w:rsidP="009E4CBC">
      <w:pPr>
        <w:pStyle w:val="Ttulo2"/>
        <w:numPr>
          <w:ilvl w:val="2"/>
          <w:numId w:val="24"/>
        </w:numPr>
        <w:spacing w:before="240" w:after="0" w:line="240" w:lineRule="auto"/>
        <w:rPr>
          <w:rFonts w:cstheme="minorHAnsi"/>
        </w:rPr>
      </w:pPr>
      <w:r w:rsidRPr="009E4CBC">
        <w:rPr>
          <w:rFonts w:cstheme="minorHAnsi"/>
        </w:rPr>
        <w:t>Primeros pasos: d</w:t>
      </w:r>
      <w:r w:rsidR="00E50189" w:rsidRPr="009E4CBC">
        <w:rPr>
          <w:rFonts w:cstheme="minorHAnsi"/>
        </w:rPr>
        <w:t>esde l</w:t>
      </w:r>
      <w:r w:rsidR="00702B45" w:rsidRPr="009E4CBC">
        <w:rPr>
          <w:rFonts w:cstheme="minorHAnsi"/>
        </w:rPr>
        <w:t>a NIC 21</w:t>
      </w:r>
      <w:r w:rsidR="00A76C3C" w:rsidRPr="009E4CBC">
        <w:rPr>
          <w:rFonts w:cstheme="minorHAnsi"/>
        </w:rPr>
        <w:t xml:space="preserve"> de 1983</w:t>
      </w:r>
      <w:r w:rsidR="00E50189" w:rsidRPr="009E4CBC">
        <w:rPr>
          <w:rFonts w:cstheme="minorHAnsi"/>
        </w:rPr>
        <w:t xml:space="preserve"> hasta los modelos según grado de integración</w:t>
      </w:r>
    </w:p>
    <w:p w14:paraId="144BCD92" w14:textId="7A99D5AE" w:rsidR="008A394B" w:rsidRPr="009E4CBC" w:rsidRDefault="00DA4163" w:rsidP="009E4CBC">
      <w:pPr>
        <w:spacing w:before="240" w:line="240" w:lineRule="auto"/>
        <w:ind w:firstLine="708"/>
        <w:jc w:val="both"/>
        <w:rPr>
          <w:rFonts w:cstheme="minorHAnsi"/>
        </w:rPr>
      </w:pPr>
      <w:r w:rsidRPr="009E4CBC">
        <w:rPr>
          <w:rFonts w:cstheme="minorHAnsi"/>
        </w:rPr>
        <w:t xml:space="preserve">En </w:t>
      </w:r>
      <w:r w:rsidR="008A394B" w:rsidRPr="009E4CBC">
        <w:rPr>
          <w:rFonts w:cstheme="minorHAnsi"/>
        </w:rPr>
        <w:t xml:space="preserve">julio del año </w:t>
      </w:r>
      <w:r w:rsidRPr="009E4CBC">
        <w:rPr>
          <w:rFonts w:cstheme="minorHAnsi"/>
        </w:rPr>
        <w:t>1983, el Comité de Normas Internacionales de Contabilidad (</w:t>
      </w:r>
      <w:r w:rsidR="008A394B" w:rsidRPr="009E4CBC">
        <w:rPr>
          <w:rFonts w:cstheme="minorHAnsi"/>
        </w:rPr>
        <w:t xml:space="preserve">o </w:t>
      </w:r>
      <w:r w:rsidRPr="009E4CBC">
        <w:rPr>
          <w:rFonts w:cstheme="minorHAnsi"/>
        </w:rPr>
        <w:t>IASC</w:t>
      </w:r>
      <w:r w:rsidR="008A394B" w:rsidRPr="009E4CBC">
        <w:rPr>
          <w:rFonts w:cstheme="minorHAnsi"/>
        </w:rPr>
        <w:t>, por sus siglas en inglés</w:t>
      </w:r>
      <w:r w:rsidRPr="009E4CBC">
        <w:rPr>
          <w:rFonts w:cstheme="minorHAnsi"/>
        </w:rPr>
        <w:t xml:space="preserve">) </w:t>
      </w:r>
      <w:r w:rsidR="00943DB5" w:rsidRPr="009E4CBC">
        <w:rPr>
          <w:rFonts w:cstheme="minorHAnsi"/>
        </w:rPr>
        <w:t>emit</w:t>
      </w:r>
      <w:r w:rsidR="002B2E99" w:rsidRPr="009E4CBC">
        <w:rPr>
          <w:rFonts w:cstheme="minorHAnsi"/>
        </w:rPr>
        <w:t>ió</w:t>
      </w:r>
      <w:r w:rsidR="00943DB5" w:rsidRPr="009E4CBC">
        <w:rPr>
          <w:rFonts w:cstheme="minorHAnsi"/>
        </w:rPr>
        <w:t xml:space="preserve"> </w:t>
      </w:r>
      <w:r w:rsidRPr="009E4CBC">
        <w:rPr>
          <w:rFonts w:cstheme="minorHAnsi"/>
        </w:rPr>
        <w:t>la Norma Internacional de Contabilidad (NIC) 21</w:t>
      </w:r>
      <w:r w:rsidR="008A394B" w:rsidRPr="009E4CBC">
        <w:rPr>
          <w:rFonts w:cstheme="minorHAnsi"/>
        </w:rPr>
        <w:t xml:space="preserve"> </w:t>
      </w:r>
      <w:r w:rsidR="008A394B" w:rsidRPr="009E4CBC">
        <w:rPr>
          <w:rFonts w:cstheme="minorHAnsi"/>
          <w:i/>
        </w:rPr>
        <w:t>Contabilización de los Efectos de las Variaciones en las Tasas de Cambio de la Moneda Extranjera</w:t>
      </w:r>
      <w:r w:rsidR="00943DB5" w:rsidRPr="009E4CBC">
        <w:rPr>
          <w:rFonts w:cstheme="minorHAnsi"/>
        </w:rPr>
        <w:t>, con fecha efectiva de aplicación a partir del primero de enero de 1985</w:t>
      </w:r>
      <w:r w:rsidR="00E536C8" w:rsidRPr="009E4CBC">
        <w:rPr>
          <w:rFonts w:cstheme="minorHAnsi"/>
        </w:rPr>
        <w:t>.</w:t>
      </w:r>
    </w:p>
    <w:p w14:paraId="67E87C70" w14:textId="6FEB1E8C" w:rsidR="00943DB5" w:rsidRPr="009E4CBC" w:rsidRDefault="00943DB5" w:rsidP="009E4CBC">
      <w:pPr>
        <w:spacing w:line="240" w:lineRule="auto"/>
        <w:ind w:firstLine="708"/>
        <w:jc w:val="both"/>
        <w:rPr>
          <w:rFonts w:cstheme="minorHAnsi"/>
        </w:rPr>
      </w:pPr>
      <w:r w:rsidRPr="009E4CBC">
        <w:rPr>
          <w:rFonts w:cstheme="minorHAnsi"/>
        </w:rPr>
        <w:t xml:space="preserve">En 1993, El IASC completa su “Proyecto de comparabilidad y mejoras” con la revisión de diez </w:t>
      </w:r>
      <w:r w:rsidR="00DE3CE6">
        <w:rPr>
          <w:rFonts w:cstheme="minorHAnsi"/>
        </w:rPr>
        <w:t>e</w:t>
      </w:r>
      <w:r w:rsidRPr="009E4CBC">
        <w:rPr>
          <w:rFonts w:cstheme="minorHAnsi"/>
        </w:rPr>
        <w:t>stándares</w:t>
      </w:r>
      <w:r w:rsidR="00DE3CE6">
        <w:rPr>
          <w:rFonts w:cstheme="minorHAnsi"/>
        </w:rPr>
        <w:t xml:space="preserve"> o normas</w:t>
      </w:r>
      <w:r w:rsidRPr="009E4CBC">
        <w:rPr>
          <w:rFonts w:cstheme="minorHAnsi"/>
        </w:rPr>
        <w:t xml:space="preserve"> reduciendo sustancialmente el rango de opciones de políticas contables y allanando el camino para la evaluación </w:t>
      </w:r>
      <w:r w:rsidR="00DE3CE6">
        <w:rPr>
          <w:rFonts w:cstheme="minorHAnsi"/>
        </w:rPr>
        <w:t>de los e</w:t>
      </w:r>
      <w:r w:rsidRPr="009E4CBC">
        <w:rPr>
          <w:rFonts w:cstheme="minorHAnsi"/>
        </w:rPr>
        <w:t xml:space="preserve">stándares por parte de </w:t>
      </w:r>
      <w:r w:rsidRPr="00BA4EAC">
        <w:rPr>
          <w:rFonts w:cstheme="minorHAnsi"/>
        </w:rPr>
        <w:t>la International Organization of Securities Commissions (IOSCO</w:t>
      </w:r>
      <w:r w:rsidRPr="009E4CBC">
        <w:rPr>
          <w:rFonts w:cstheme="minorHAnsi"/>
        </w:rPr>
        <w:t xml:space="preserve">). Como parte del mencionado proyecto, la norma emitida en 1983 fue revisada y sustituida en diciembre de 1993 por la NIC 21 </w:t>
      </w:r>
      <w:r w:rsidRPr="009E4CBC">
        <w:rPr>
          <w:rFonts w:cstheme="minorHAnsi"/>
          <w:i/>
        </w:rPr>
        <w:t>Efectos de las Variaciones en las Tasas de Cambio de la Moneda Extranjera</w:t>
      </w:r>
      <w:r w:rsidRPr="009E4CBC">
        <w:rPr>
          <w:rFonts w:cstheme="minorHAnsi"/>
        </w:rPr>
        <w:t xml:space="preserve"> (con fecha efectiva de aplicación a partir del primero de enero de 1995).</w:t>
      </w:r>
    </w:p>
    <w:p w14:paraId="3B1A0965" w14:textId="4E8C7110" w:rsidR="0078255D" w:rsidRPr="009E4CBC" w:rsidRDefault="0078255D" w:rsidP="009E4CBC">
      <w:pPr>
        <w:spacing w:line="240" w:lineRule="auto"/>
        <w:ind w:firstLine="708"/>
        <w:jc w:val="both"/>
        <w:rPr>
          <w:rFonts w:cstheme="minorHAnsi"/>
        </w:rPr>
      </w:pPr>
      <w:r w:rsidRPr="009E4CBC">
        <w:rPr>
          <w:rFonts w:cstheme="minorHAnsi"/>
        </w:rPr>
        <w:t>Según Fowler Newton (2010) la NIC 21 de 1993 establecía que el método de conversión de los estados financieros de una participada debía seleccionarse considerando el grado de integración de sus actividades con las del inversor. Es decir, diferenciaba los métodos de conversión según</w:t>
      </w:r>
      <w:r w:rsidR="003022A2" w:rsidRPr="009E4CBC">
        <w:rPr>
          <w:rFonts w:cstheme="minorHAnsi"/>
        </w:rPr>
        <w:t xml:space="preserve"> si</w:t>
      </w:r>
      <w:r w:rsidRPr="009E4CBC">
        <w:rPr>
          <w:rFonts w:cstheme="minorHAnsi"/>
        </w:rPr>
        <w:t xml:space="preserve"> las participadas fueran integradas o no integradas, de acuerdo </w:t>
      </w:r>
      <w:r w:rsidR="003022A2" w:rsidRPr="009E4CBC">
        <w:rPr>
          <w:rFonts w:cstheme="minorHAnsi"/>
        </w:rPr>
        <w:t xml:space="preserve">con el </w:t>
      </w:r>
      <w:r w:rsidRPr="009E4CBC">
        <w:rPr>
          <w:rFonts w:cstheme="minorHAnsi"/>
        </w:rPr>
        <w:t>grado de vinculación de sus actividades con las del inversor. Considerando esta clasificación, los estados financieros de las entidades integradas debían convertirse con el método temporal y los restantes con otro</w:t>
      </w:r>
      <w:r w:rsidR="00702B45" w:rsidRPr="009E4CBC">
        <w:rPr>
          <w:rFonts w:cstheme="minorHAnsi"/>
        </w:rPr>
        <w:t xml:space="preserve"> método</w:t>
      </w:r>
      <w:r w:rsidRPr="009E4CBC">
        <w:rPr>
          <w:rFonts w:cstheme="minorHAnsi"/>
        </w:rPr>
        <w:t>.</w:t>
      </w:r>
    </w:p>
    <w:p w14:paraId="70E739BC" w14:textId="55E61187" w:rsidR="0078255D" w:rsidRPr="009E4CBC" w:rsidRDefault="00472B12" w:rsidP="009E4CBC">
      <w:pPr>
        <w:spacing w:line="240" w:lineRule="auto"/>
        <w:ind w:firstLine="708"/>
        <w:jc w:val="both"/>
        <w:rPr>
          <w:rFonts w:cstheme="minorHAnsi"/>
        </w:rPr>
      </w:pPr>
      <w:r w:rsidRPr="009E4CBC">
        <w:rPr>
          <w:rFonts w:cstheme="minorHAnsi"/>
        </w:rPr>
        <w:t xml:space="preserve">Entre los años 1998 y 2001 se continuaron realizando modificaciones en referencia a la NIC 21 y se emitieron cuatro Interpretaciones (por parte del Comité de Interpretaciones) en relación a la norma. Dichas interpretaciones fueron: la SIC-7 </w:t>
      </w:r>
      <w:r w:rsidRPr="009E4CBC">
        <w:rPr>
          <w:rFonts w:cstheme="minorHAnsi"/>
          <w:i/>
        </w:rPr>
        <w:t>Introducción al euro</w:t>
      </w:r>
      <w:r w:rsidRPr="009E4CBC">
        <w:rPr>
          <w:rFonts w:cstheme="minorHAnsi"/>
        </w:rPr>
        <w:t xml:space="preserve"> (mayo 1998), la SIC-11 </w:t>
      </w:r>
      <w:r w:rsidRPr="009E4CBC">
        <w:rPr>
          <w:rFonts w:cstheme="minorHAnsi"/>
          <w:i/>
        </w:rPr>
        <w:t>Variaciones de cambio en moneda extranjera – Capitalización de pérdidas derivadas de devaluaciones muy importantes</w:t>
      </w:r>
      <w:r w:rsidRPr="009E4CBC">
        <w:rPr>
          <w:rFonts w:cstheme="minorHAnsi"/>
        </w:rPr>
        <w:t xml:space="preserve"> (julio 1998), la SIC-19 </w:t>
      </w:r>
      <w:r w:rsidRPr="009E4CBC">
        <w:rPr>
          <w:rFonts w:cstheme="minorHAnsi"/>
          <w:i/>
        </w:rPr>
        <w:t>Moneda de los estados financieros – medición y presentación de los estados financieros según las NIC 21 y 29</w:t>
      </w:r>
      <w:r w:rsidRPr="009E4CBC">
        <w:rPr>
          <w:rFonts w:cstheme="minorHAnsi"/>
        </w:rPr>
        <w:t xml:space="preserve"> (noviembre 2000) y la SIC-30 </w:t>
      </w:r>
      <w:r w:rsidRPr="009E4CBC">
        <w:rPr>
          <w:rFonts w:cstheme="minorHAnsi"/>
          <w:i/>
        </w:rPr>
        <w:t>Moneda en la que se informa – Conversión de la moneda de medición a la moneda de presentación</w:t>
      </w:r>
      <w:r w:rsidRPr="009E4CBC">
        <w:rPr>
          <w:rFonts w:cstheme="minorHAnsi"/>
        </w:rPr>
        <w:t xml:space="preserve"> (diciembre 2001).</w:t>
      </w:r>
    </w:p>
    <w:p w14:paraId="719EDD86" w14:textId="2B2A5421" w:rsidR="00F830AD" w:rsidRPr="009E4CBC" w:rsidRDefault="00BC7F9A" w:rsidP="009E4CBC">
      <w:pPr>
        <w:spacing w:line="240" w:lineRule="auto"/>
        <w:ind w:firstLine="708"/>
        <w:jc w:val="both"/>
        <w:rPr>
          <w:rFonts w:cstheme="minorHAnsi"/>
        </w:rPr>
      </w:pPr>
      <w:r w:rsidRPr="009E4CBC">
        <w:rPr>
          <w:rFonts w:cstheme="minorHAnsi"/>
        </w:rPr>
        <w:lastRenderedPageBreak/>
        <w:t>Finalmente,</w:t>
      </w:r>
      <w:r w:rsidR="00F830AD" w:rsidRPr="009E4CBC">
        <w:rPr>
          <w:rFonts w:cstheme="minorHAnsi"/>
        </w:rPr>
        <w:t xml:space="preserve"> en diciembre del año 2003, el Consejo de Normas Internacionales de Contabilidad (</w:t>
      </w:r>
      <w:r w:rsidR="00AD7BB9" w:rsidRPr="00AD7BB9">
        <w:rPr>
          <w:rFonts w:cstheme="minorHAnsi"/>
        </w:rPr>
        <w:t>International Accounting Standards Board</w:t>
      </w:r>
      <w:r w:rsidR="00AD7BB9">
        <w:rPr>
          <w:rFonts w:cstheme="minorHAnsi"/>
        </w:rPr>
        <w:t>,</w:t>
      </w:r>
      <w:r w:rsidR="00AD7BB9" w:rsidRPr="00AD7BB9">
        <w:rPr>
          <w:rFonts w:cstheme="minorHAnsi"/>
        </w:rPr>
        <w:t xml:space="preserve"> </w:t>
      </w:r>
      <w:r w:rsidR="00F830AD" w:rsidRPr="009E4CBC">
        <w:rPr>
          <w:rFonts w:cstheme="minorHAnsi"/>
        </w:rPr>
        <w:t xml:space="preserve">IASB) </w:t>
      </w:r>
      <w:r w:rsidR="003022A2" w:rsidRPr="009E4CBC">
        <w:rPr>
          <w:rFonts w:cstheme="minorHAnsi"/>
        </w:rPr>
        <w:t xml:space="preserve">– el cual reemplazó al IASC– </w:t>
      </w:r>
      <w:r w:rsidR="00F830AD" w:rsidRPr="009E4CBC">
        <w:rPr>
          <w:rFonts w:cstheme="minorHAnsi"/>
        </w:rPr>
        <w:t xml:space="preserve">emitió una NIC 21 revisada, que modificó la SIC-7 y sustituyó la SIC-11, </w:t>
      </w:r>
      <w:r w:rsidR="00F86879" w:rsidRPr="009E4CBC">
        <w:rPr>
          <w:rFonts w:cstheme="minorHAnsi"/>
        </w:rPr>
        <w:t xml:space="preserve">la </w:t>
      </w:r>
      <w:r w:rsidR="00F830AD" w:rsidRPr="009E4CBC">
        <w:rPr>
          <w:rFonts w:cstheme="minorHAnsi"/>
        </w:rPr>
        <w:t xml:space="preserve">SIC-19 y </w:t>
      </w:r>
      <w:r w:rsidR="00F86879" w:rsidRPr="009E4CBC">
        <w:rPr>
          <w:rFonts w:cstheme="minorHAnsi"/>
        </w:rPr>
        <w:t xml:space="preserve">la </w:t>
      </w:r>
      <w:r w:rsidR="00F830AD" w:rsidRPr="009E4CBC">
        <w:rPr>
          <w:rFonts w:cstheme="minorHAnsi"/>
        </w:rPr>
        <w:t>SIC-30</w:t>
      </w:r>
      <w:r w:rsidR="009210C7" w:rsidRPr="009E4CBC">
        <w:rPr>
          <w:rFonts w:cstheme="minorHAnsi"/>
        </w:rPr>
        <w:t>,</w:t>
      </w:r>
      <w:r w:rsidR="003022A2" w:rsidRPr="009E4CBC">
        <w:rPr>
          <w:rFonts w:cstheme="minorHAnsi"/>
        </w:rPr>
        <w:t xml:space="preserve"> con fecha efectiva de aplicación a partir del primero de enero de 2005</w:t>
      </w:r>
      <w:r w:rsidR="00F830AD" w:rsidRPr="009E4CBC">
        <w:rPr>
          <w:rFonts w:cstheme="minorHAnsi"/>
        </w:rPr>
        <w:t>.</w:t>
      </w:r>
      <w:r w:rsidR="00F86879" w:rsidRPr="009E4CBC">
        <w:rPr>
          <w:rFonts w:cstheme="minorHAnsi"/>
        </w:rPr>
        <w:t xml:space="preserve"> </w:t>
      </w:r>
    </w:p>
    <w:p w14:paraId="76A5642C" w14:textId="5C81B2A8" w:rsidR="00F86879" w:rsidRPr="009E4CBC" w:rsidRDefault="00F86879" w:rsidP="009E4CBC">
      <w:pPr>
        <w:spacing w:line="240" w:lineRule="auto"/>
        <w:ind w:firstLine="708"/>
        <w:jc w:val="both"/>
        <w:rPr>
          <w:rFonts w:cstheme="minorHAnsi"/>
        </w:rPr>
      </w:pPr>
      <w:r w:rsidRPr="009E4CBC">
        <w:rPr>
          <w:rFonts w:cstheme="minorHAnsi"/>
        </w:rPr>
        <w:t xml:space="preserve">La nueva NIC 21, en lugar de determinar el método de conversión según el grado de integración de las actividades de la participada con las actividades del inversor, considera la coincidencia o divergencia entre las monedas funcionales de las entidades. Cuando coinciden, ambas entidades tienen la misma moneda de medición y no es necesaria ninguna conversión (Fowler Newton, 2010). </w:t>
      </w:r>
    </w:p>
    <w:p w14:paraId="7C5AB578" w14:textId="77777777" w:rsidR="003022A2" w:rsidRPr="009E4CBC" w:rsidRDefault="003022A2" w:rsidP="009E4CBC">
      <w:pPr>
        <w:spacing w:line="240" w:lineRule="auto"/>
        <w:jc w:val="both"/>
        <w:rPr>
          <w:rFonts w:cstheme="minorHAnsi"/>
        </w:rPr>
      </w:pPr>
      <w:r w:rsidRPr="009E4CBC">
        <w:rPr>
          <w:rFonts w:cstheme="minorHAnsi"/>
        </w:rPr>
        <w:t>Asimismo, la norma dispone que se aplique en los siguientes casos:</w:t>
      </w:r>
    </w:p>
    <w:p w14:paraId="3EF0A472" w14:textId="3E585A62" w:rsidR="003022A2" w:rsidRPr="009E4CBC" w:rsidRDefault="003022A2" w:rsidP="009E4CBC">
      <w:pPr>
        <w:numPr>
          <w:ilvl w:val="0"/>
          <w:numId w:val="26"/>
        </w:numPr>
        <w:pBdr>
          <w:top w:val="nil"/>
          <w:left w:val="nil"/>
          <w:bottom w:val="nil"/>
          <w:right w:val="nil"/>
          <w:between w:val="nil"/>
        </w:pBdr>
        <w:spacing w:after="0" w:line="240" w:lineRule="auto"/>
        <w:jc w:val="both"/>
        <w:rPr>
          <w:rFonts w:cstheme="minorHAnsi"/>
          <w:color w:val="000000"/>
        </w:rPr>
      </w:pPr>
      <w:r w:rsidRPr="009E4CBC">
        <w:rPr>
          <w:rFonts w:cstheme="minorHAnsi"/>
          <w:color w:val="000000"/>
        </w:rPr>
        <w:t xml:space="preserve">Al contabilizar las transacciones y saldos en moneda extranjera, salvo las transacciones y saldos con </w:t>
      </w:r>
      <w:r w:rsidR="0052668A">
        <w:rPr>
          <w:rFonts w:cstheme="minorHAnsi"/>
          <w:color w:val="000000"/>
        </w:rPr>
        <w:t xml:space="preserve">instrumentos financieros </w:t>
      </w:r>
      <w:r w:rsidRPr="009E4CBC">
        <w:rPr>
          <w:rFonts w:cstheme="minorHAnsi"/>
          <w:color w:val="000000"/>
        </w:rPr>
        <w:t>derivados;</w:t>
      </w:r>
    </w:p>
    <w:p w14:paraId="30E179D0" w14:textId="77777777" w:rsidR="003022A2" w:rsidRPr="009E4CBC" w:rsidRDefault="003022A2" w:rsidP="009E4CBC">
      <w:pPr>
        <w:numPr>
          <w:ilvl w:val="0"/>
          <w:numId w:val="26"/>
        </w:numPr>
        <w:pBdr>
          <w:top w:val="nil"/>
          <w:left w:val="nil"/>
          <w:bottom w:val="nil"/>
          <w:right w:val="nil"/>
          <w:between w:val="nil"/>
        </w:pBdr>
        <w:spacing w:after="0" w:line="240" w:lineRule="auto"/>
        <w:jc w:val="both"/>
        <w:rPr>
          <w:rFonts w:cstheme="minorHAnsi"/>
          <w:color w:val="000000"/>
        </w:rPr>
      </w:pPr>
      <w:r w:rsidRPr="009E4CBC">
        <w:rPr>
          <w:rFonts w:cstheme="minorHAnsi"/>
          <w:color w:val="000000"/>
        </w:rPr>
        <w:t>Al convertir los resultados y la situación financiera de los negocios en el extranjero que se incluyan en los estados financieros de la entidad, ya sea por consolidación, por consolidación proporcional o por el método de la participación; y</w:t>
      </w:r>
    </w:p>
    <w:p w14:paraId="0C3203C8" w14:textId="7F20D64F" w:rsidR="003022A2" w:rsidRPr="009E4CBC" w:rsidRDefault="003022A2" w:rsidP="009E4CBC">
      <w:pPr>
        <w:numPr>
          <w:ilvl w:val="0"/>
          <w:numId w:val="26"/>
        </w:numPr>
        <w:pBdr>
          <w:top w:val="nil"/>
          <w:left w:val="nil"/>
          <w:bottom w:val="nil"/>
          <w:right w:val="nil"/>
          <w:between w:val="nil"/>
        </w:pBdr>
        <w:spacing w:after="160" w:line="240" w:lineRule="auto"/>
        <w:jc w:val="both"/>
        <w:rPr>
          <w:rFonts w:cstheme="minorHAnsi"/>
          <w:color w:val="000000"/>
        </w:rPr>
      </w:pPr>
      <w:r w:rsidRPr="009E4CBC">
        <w:rPr>
          <w:rFonts w:cstheme="minorHAnsi"/>
          <w:color w:val="000000"/>
        </w:rPr>
        <w:t>Al convertir los resultados y la situación financiera de la entidad en una moneda de presentación.</w:t>
      </w:r>
    </w:p>
    <w:p w14:paraId="76AFD090" w14:textId="77777777" w:rsidR="002907AC" w:rsidRPr="009E4CBC" w:rsidRDefault="002907AC" w:rsidP="009E4CBC">
      <w:pPr>
        <w:spacing w:line="240" w:lineRule="auto"/>
        <w:ind w:firstLine="708"/>
        <w:jc w:val="both"/>
        <w:rPr>
          <w:rFonts w:cstheme="minorHAnsi"/>
        </w:rPr>
      </w:pPr>
    </w:p>
    <w:p w14:paraId="29AB1CEB" w14:textId="0247C15F" w:rsidR="00E50189" w:rsidRPr="009E4CBC" w:rsidRDefault="00E50189" w:rsidP="009E4CBC">
      <w:pPr>
        <w:pStyle w:val="Ttulo2"/>
        <w:numPr>
          <w:ilvl w:val="2"/>
          <w:numId w:val="24"/>
        </w:numPr>
        <w:spacing w:line="240" w:lineRule="auto"/>
        <w:rPr>
          <w:rFonts w:cstheme="minorHAnsi"/>
        </w:rPr>
      </w:pPr>
      <w:r w:rsidRPr="009E4CBC">
        <w:rPr>
          <w:rFonts w:cstheme="minorHAnsi"/>
        </w:rPr>
        <w:t>Métodos de conversión según grado de integración</w:t>
      </w:r>
    </w:p>
    <w:p w14:paraId="248135DF" w14:textId="5FA2AE74" w:rsidR="00E50189" w:rsidRPr="009E4CBC" w:rsidRDefault="00E50189" w:rsidP="009E4CBC">
      <w:pPr>
        <w:spacing w:line="240" w:lineRule="auto"/>
        <w:ind w:firstLine="708"/>
        <w:jc w:val="both"/>
        <w:rPr>
          <w:rFonts w:cstheme="minorHAnsi"/>
        </w:rPr>
      </w:pPr>
      <w:r w:rsidRPr="009E4CBC">
        <w:rPr>
          <w:rFonts w:cstheme="minorHAnsi"/>
        </w:rPr>
        <w:t xml:space="preserve">En 1993, la NIC 21 establecía el método de conversión de los estados financieros de una participada en función del grado de integración de sus actividades con el inversor. Es por esto que se dividían las empresas en integradas y no integradas (independientes). </w:t>
      </w:r>
    </w:p>
    <w:p w14:paraId="53283B05" w14:textId="77777777" w:rsidR="00B47085" w:rsidRDefault="00E50189" w:rsidP="009E4CBC">
      <w:pPr>
        <w:spacing w:line="240" w:lineRule="auto"/>
        <w:ind w:firstLine="708"/>
        <w:jc w:val="both"/>
        <w:rPr>
          <w:rFonts w:cstheme="minorHAnsi"/>
        </w:rPr>
      </w:pPr>
      <w:r w:rsidRPr="009E4CBC">
        <w:rPr>
          <w:rFonts w:cstheme="minorHAnsi"/>
        </w:rPr>
        <w:t xml:space="preserve">Se consideraba como entidades integradas a aquellas que eran parte integral de las operaciones de la matriz o inversora. Como menciona </w:t>
      </w:r>
      <w:proofErr w:type="spellStart"/>
      <w:r w:rsidRPr="009E4CBC">
        <w:rPr>
          <w:rFonts w:cstheme="minorHAnsi"/>
        </w:rPr>
        <w:t>Pahlen</w:t>
      </w:r>
      <w:proofErr w:type="spellEnd"/>
      <w:r w:rsidR="00D16441" w:rsidRPr="009E4CBC">
        <w:rPr>
          <w:rFonts w:cstheme="minorHAnsi"/>
        </w:rPr>
        <w:t xml:space="preserve"> </w:t>
      </w:r>
      <w:r w:rsidR="00B47085">
        <w:rPr>
          <w:rFonts w:cstheme="minorHAnsi"/>
        </w:rPr>
        <w:t xml:space="preserve">Acuña </w:t>
      </w:r>
      <w:r w:rsidR="00D16441" w:rsidRPr="009E4CBC">
        <w:rPr>
          <w:rFonts w:cstheme="minorHAnsi"/>
        </w:rPr>
        <w:t>et al.</w:t>
      </w:r>
      <w:r w:rsidRPr="009E4CBC">
        <w:rPr>
          <w:rFonts w:cstheme="minorHAnsi"/>
        </w:rPr>
        <w:t xml:space="preserve"> (2011), la subsidiaria extranjera opera sólo como una extensión de las actividades de la controlante, sin independencia en cuanto a la toma de decisiones y financiándose casi exclusivamente en la moneda del país de la matriz. Mientras que se definía como operaciones extranjeras no integradas a aquellas operaciones que acumulaban efectivo y otros elementos monetarios, incurrían en gastos y costos, obtenían ingresos y organizaban su financiamiento sustancialmente en moneda extranjera. </w:t>
      </w:r>
    </w:p>
    <w:p w14:paraId="6BD3F0FC" w14:textId="496D20C8" w:rsidR="00E50189" w:rsidRPr="009E4CBC" w:rsidRDefault="00E50189" w:rsidP="009E4CBC">
      <w:pPr>
        <w:spacing w:line="240" w:lineRule="auto"/>
        <w:ind w:firstLine="708"/>
        <w:jc w:val="both"/>
        <w:rPr>
          <w:rFonts w:cstheme="minorHAnsi"/>
        </w:rPr>
      </w:pPr>
      <w:r w:rsidRPr="009E4CBC">
        <w:rPr>
          <w:rFonts w:cstheme="minorHAnsi"/>
        </w:rPr>
        <w:t xml:space="preserve">De este modo, con el fin de poder determinar si una operación en el extranjero era integrada o no integrada, la norma establecía seis factores cualitativos a ser evaluados: fuentes de gastos, fuentes de financiamiento, fuentes de mercados del negocio en el extranjero, volumen de transacciones entre el negocio en el extranjero y su matriz, si los flujos de efectivo de su matriz están aislados o afectados por sus operaciones, y si los precios de venta de los productos de la operación extranjera están determinados por condiciones internas o externas (cabe mencionar, que la NIC 21 emitida en 1983 no incluía este último factor). </w:t>
      </w:r>
    </w:p>
    <w:p w14:paraId="716FD74D" w14:textId="77777777" w:rsidR="0051508F" w:rsidRPr="009E4CBC" w:rsidRDefault="00E50189" w:rsidP="009E4CBC">
      <w:pPr>
        <w:spacing w:line="240" w:lineRule="auto"/>
        <w:ind w:firstLine="708"/>
        <w:jc w:val="both"/>
        <w:rPr>
          <w:rFonts w:cstheme="minorHAnsi"/>
        </w:rPr>
      </w:pPr>
      <w:r w:rsidRPr="009E4CBC">
        <w:rPr>
          <w:rFonts w:cstheme="minorHAnsi"/>
        </w:rPr>
        <w:t xml:space="preserve">Según Laswad y Roush (2000), la norma no identificaba la importancia relativa de los factores determinantes de que una operación en el extranjero fuese integrada o no integrada, lo cual podía brindar una oportunidad para administrar las ganancias de la entidad. A su vez, esta falta de claridad podía producir resultados diferentes en empresas con características y circunstancias similares y, en consecuencia, reducir la comparabilidad de los estados financieros entre empresas. Si la entidad era considerada independiente, los estados financieros debían convertirse utilizando el tipo de cambio de cierre y las diferencias de </w:t>
      </w:r>
      <w:r w:rsidRPr="009E4CBC">
        <w:rPr>
          <w:rFonts w:cstheme="minorHAnsi"/>
        </w:rPr>
        <w:lastRenderedPageBreak/>
        <w:t xml:space="preserve">cambio originadas en la conversión se imputaban directamente a una cuenta de reserva en el patrimonio neto. </w:t>
      </w:r>
    </w:p>
    <w:p w14:paraId="4459B0DF" w14:textId="25D0F7B4" w:rsidR="0051508F" w:rsidRPr="009E4CBC" w:rsidRDefault="00E50189" w:rsidP="009E4CBC">
      <w:pPr>
        <w:spacing w:line="240" w:lineRule="auto"/>
        <w:ind w:firstLine="708"/>
        <w:jc w:val="both"/>
        <w:rPr>
          <w:rFonts w:cstheme="minorHAnsi"/>
        </w:rPr>
      </w:pPr>
      <w:r w:rsidRPr="009E4CBC">
        <w:rPr>
          <w:rFonts w:cstheme="minorHAnsi"/>
        </w:rPr>
        <w:t>Por otra parte, si la entidad se consideraba integrada, los estados financieros debían convertirse utilizando el método temporal y las diferencias de cambio generadas por la conversión se incluían como un componente del resultado del período. En el caso de que la partida contable est</w:t>
      </w:r>
      <w:r w:rsidR="0051508F" w:rsidRPr="009E4CBC">
        <w:rPr>
          <w:rFonts w:cstheme="minorHAnsi"/>
        </w:rPr>
        <w:t>uviera</w:t>
      </w:r>
      <w:r w:rsidRPr="009E4CBC">
        <w:rPr>
          <w:rFonts w:cstheme="minorHAnsi"/>
        </w:rPr>
        <w:t xml:space="preserve"> medida a costo historio, se le aplica</w:t>
      </w:r>
      <w:r w:rsidR="009210C7" w:rsidRPr="009E4CBC">
        <w:rPr>
          <w:rFonts w:cstheme="minorHAnsi"/>
        </w:rPr>
        <w:t>ba</w:t>
      </w:r>
      <w:r w:rsidRPr="009E4CBC">
        <w:rPr>
          <w:rFonts w:cstheme="minorHAnsi"/>
        </w:rPr>
        <w:t xml:space="preserve"> el tipo de cambio de su fecha de origen, es decir, la del momento en que se incorporó al patrimonio y en el caso de que emple</w:t>
      </w:r>
      <w:r w:rsidR="0051508F" w:rsidRPr="009E4CBC">
        <w:rPr>
          <w:rFonts w:cstheme="minorHAnsi"/>
        </w:rPr>
        <w:t>ara</w:t>
      </w:r>
      <w:r w:rsidRPr="009E4CBC">
        <w:rPr>
          <w:rFonts w:cstheme="minorHAnsi"/>
        </w:rPr>
        <w:t xml:space="preserve"> valores corrientes, se utiliza</w:t>
      </w:r>
      <w:r w:rsidR="009210C7" w:rsidRPr="009E4CBC">
        <w:rPr>
          <w:rFonts w:cstheme="minorHAnsi"/>
        </w:rPr>
        <w:t>ba</w:t>
      </w:r>
      <w:r w:rsidRPr="009E4CBC">
        <w:rPr>
          <w:rFonts w:cstheme="minorHAnsi"/>
        </w:rPr>
        <w:t xml:space="preserve"> el tipo de cambio de cierre. </w:t>
      </w:r>
    </w:p>
    <w:p w14:paraId="3962A032" w14:textId="77777777" w:rsidR="00702B45" w:rsidRPr="009E4CBC" w:rsidRDefault="00702B45" w:rsidP="009E4CBC">
      <w:pPr>
        <w:spacing w:line="240" w:lineRule="auto"/>
        <w:jc w:val="both"/>
        <w:rPr>
          <w:rFonts w:cstheme="minorHAnsi"/>
        </w:rPr>
      </w:pPr>
    </w:p>
    <w:p w14:paraId="535971A0" w14:textId="02A3C811" w:rsidR="00702B45" w:rsidRPr="009E4CBC" w:rsidRDefault="006A29B7" w:rsidP="009E4CBC">
      <w:pPr>
        <w:pStyle w:val="Ttulo2"/>
        <w:numPr>
          <w:ilvl w:val="2"/>
          <w:numId w:val="24"/>
        </w:numPr>
        <w:spacing w:line="240" w:lineRule="auto"/>
        <w:rPr>
          <w:rFonts w:cstheme="minorHAnsi"/>
        </w:rPr>
      </w:pPr>
      <w:r w:rsidRPr="009E4CBC">
        <w:rPr>
          <w:rFonts w:cstheme="minorHAnsi"/>
        </w:rPr>
        <w:t xml:space="preserve">Principales variaciones de la NIC 21 de </w:t>
      </w:r>
      <w:r w:rsidR="00542FA7" w:rsidRPr="009E4CBC">
        <w:rPr>
          <w:rFonts w:cstheme="minorHAnsi"/>
        </w:rPr>
        <w:t>2003</w:t>
      </w:r>
      <w:r w:rsidR="00E50189" w:rsidRPr="009E4CBC">
        <w:rPr>
          <w:rFonts w:cstheme="minorHAnsi"/>
        </w:rPr>
        <w:t>: Moneda funcional y métodos de conversión</w:t>
      </w:r>
    </w:p>
    <w:p w14:paraId="63C10A2E" w14:textId="77777777" w:rsidR="009E4CBC" w:rsidRPr="009E4CBC" w:rsidRDefault="009E4CBC" w:rsidP="009E4CBC">
      <w:pPr>
        <w:rPr>
          <w:rFonts w:cstheme="minorHAnsi"/>
          <w:lang w:val="es-419"/>
        </w:rPr>
      </w:pPr>
    </w:p>
    <w:p w14:paraId="38B6BC15" w14:textId="4BCA2AE7" w:rsidR="00635A46" w:rsidRPr="009E4CBC" w:rsidRDefault="00607F66" w:rsidP="009E4CBC">
      <w:pPr>
        <w:pStyle w:val="Ttulo2"/>
        <w:numPr>
          <w:ilvl w:val="3"/>
          <w:numId w:val="24"/>
        </w:numPr>
        <w:spacing w:line="240" w:lineRule="auto"/>
        <w:rPr>
          <w:rFonts w:cstheme="minorHAnsi"/>
        </w:rPr>
      </w:pPr>
      <w:r w:rsidRPr="009E4CBC">
        <w:rPr>
          <w:rFonts w:cstheme="minorHAnsi"/>
        </w:rPr>
        <w:t>Identificación de distintos tipos de monedas</w:t>
      </w:r>
    </w:p>
    <w:p w14:paraId="555A3BCF" w14:textId="77777777" w:rsidR="00F830AD" w:rsidRPr="009E4CBC" w:rsidRDefault="00F86879" w:rsidP="009E4CBC">
      <w:pPr>
        <w:spacing w:line="240" w:lineRule="auto"/>
        <w:ind w:firstLine="708"/>
        <w:jc w:val="both"/>
        <w:rPr>
          <w:rFonts w:cstheme="minorHAnsi"/>
        </w:rPr>
      </w:pPr>
      <w:r w:rsidRPr="009E4CBC">
        <w:rPr>
          <w:rFonts w:cstheme="minorHAnsi"/>
        </w:rPr>
        <w:t>La identificación de la moneda funcional fue uno de los</w:t>
      </w:r>
      <w:r w:rsidR="006A29B7" w:rsidRPr="009E4CBC">
        <w:rPr>
          <w:rFonts w:cstheme="minorHAnsi"/>
        </w:rPr>
        <w:t xml:space="preserve"> principales</w:t>
      </w:r>
      <w:r w:rsidRPr="009E4CBC">
        <w:rPr>
          <w:rFonts w:cstheme="minorHAnsi"/>
        </w:rPr>
        <w:t xml:space="preserve"> aspectos </w:t>
      </w:r>
      <w:r w:rsidR="006A29B7" w:rsidRPr="009E4CBC">
        <w:rPr>
          <w:rFonts w:cstheme="minorHAnsi"/>
        </w:rPr>
        <w:t>que el IASB decidió revisar sobre la NIC de 1993</w:t>
      </w:r>
      <w:r w:rsidR="002C2DE1" w:rsidRPr="009E4CBC">
        <w:rPr>
          <w:rFonts w:cstheme="minorHAnsi"/>
        </w:rPr>
        <w:t>, ya que existía la preocupación de que la guía de la SIC-19 para determinar una moneda de medición pudiera permitir a las entidades seleccionar una de varias monedas, o seleccionar una moneda inapropiada</w:t>
      </w:r>
      <w:r w:rsidR="006A29B7" w:rsidRPr="009E4CBC">
        <w:rPr>
          <w:rFonts w:cstheme="minorHAnsi"/>
        </w:rPr>
        <w:t xml:space="preserve">. En </w:t>
      </w:r>
      <w:r w:rsidR="002C2DE1" w:rsidRPr="009E4CBC">
        <w:rPr>
          <w:rFonts w:cstheme="minorHAnsi"/>
        </w:rPr>
        <w:t xml:space="preserve">la NIC 21 del año 2003, se decide </w:t>
      </w:r>
      <w:r w:rsidR="006A29B7" w:rsidRPr="009E4CBC">
        <w:rPr>
          <w:rFonts w:cstheme="minorHAnsi"/>
        </w:rPr>
        <w:t>separa</w:t>
      </w:r>
      <w:r w:rsidR="002C2DE1" w:rsidRPr="009E4CBC">
        <w:rPr>
          <w:rFonts w:cstheme="minorHAnsi"/>
        </w:rPr>
        <w:t>r</w:t>
      </w:r>
      <w:r w:rsidR="006A29B7" w:rsidRPr="009E4CBC">
        <w:rPr>
          <w:rFonts w:cstheme="minorHAnsi"/>
        </w:rPr>
        <w:t xml:space="preserve"> el concepto de moneda funcional o de medición (es decir, la moneda en que la entidad mide las partidas en los estados financieros) del </w:t>
      </w:r>
      <w:r w:rsidR="00542FA7" w:rsidRPr="009E4CBC">
        <w:rPr>
          <w:rFonts w:cstheme="minorHAnsi"/>
        </w:rPr>
        <w:t xml:space="preserve">concepto </w:t>
      </w:r>
      <w:r w:rsidR="006A29B7" w:rsidRPr="009E4CBC">
        <w:rPr>
          <w:rFonts w:cstheme="minorHAnsi"/>
        </w:rPr>
        <w:t>de moneda de presentación (la moneda en que la entidad presenta sus estados financieros)</w:t>
      </w:r>
      <w:r w:rsidR="002C2DE1" w:rsidRPr="009E4CBC">
        <w:rPr>
          <w:rFonts w:cstheme="minorHAnsi"/>
        </w:rPr>
        <w:t xml:space="preserve"> y del concepto de moneda extranjera o divisa (cualquier otra moneda distinta de la moneda funcional de la entidad)</w:t>
      </w:r>
      <w:r w:rsidR="006A29B7" w:rsidRPr="009E4CBC">
        <w:rPr>
          <w:rFonts w:cstheme="minorHAnsi"/>
        </w:rPr>
        <w:t xml:space="preserve">. </w:t>
      </w:r>
    </w:p>
    <w:p w14:paraId="01B5474C" w14:textId="66C1C73D" w:rsidR="006C2873" w:rsidRPr="009E4CBC" w:rsidRDefault="0051508F" w:rsidP="009E4CBC">
      <w:pPr>
        <w:spacing w:line="240" w:lineRule="auto"/>
        <w:ind w:firstLine="708"/>
        <w:jc w:val="both"/>
        <w:rPr>
          <w:rFonts w:cstheme="minorHAnsi"/>
        </w:rPr>
      </w:pPr>
      <w:r w:rsidRPr="009E4CBC">
        <w:rPr>
          <w:rFonts w:cstheme="minorHAnsi"/>
        </w:rPr>
        <w:t>C</w:t>
      </w:r>
      <w:r w:rsidR="006C2873" w:rsidRPr="009E4CBC">
        <w:rPr>
          <w:rFonts w:cstheme="minorHAnsi"/>
        </w:rPr>
        <w:t>omo menciona Cayirli (2020), dado que la mayoría de las empresas generan y gastan efectivo principalmente en la moneda del país donde están ubicadas, por lo general es sencillo determinar la moneda funcional. Sin embargo, en un mundo empresarial cada vez más complejo, puede haber situaciones en las que una entidad no pueda determinar la moneda funcional sin un análisis adicional.</w:t>
      </w:r>
    </w:p>
    <w:p w14:paraId="227CF2F2" w14:textId="6A2DC1EA" w:rsidR="006C2873" w:rsidRPr="009E4CBC" w:rsidRDefault="006C2873" w:rsidP="009E4CBC">
      <w:pPr>
        <w:spacing w:line="240" w:lineRule="auto"/>
        <w:ind w:firstLine="708"/>
        <w:jc w:val="both"/>
        <w:rPr>
          <w:rFonts w:cstheme="minorHAnsi"/>
        </w:rPr>
      </w:pPr>
      <w:r w:rsidRPr="009E4CBC">
        <w:rPr>
          <w:rFonts w:cstheme="minorHAnsi"/>
        </w:rPr>
        <w:t xml:space="preserve">En este sentido, el IASB </w:t>
      </w:r>
      <w:r w:rsidR="006A29B7" w:rsidRPr="009E4CBC">
        <w:rPr>
          <w:rFonts w:cstheme="minorHAnsi"/>
        </w:rPr>
        <w:t xml:space="preserve">definió </w:t>
      </w:r>
      <w:r w:rsidRPr="009E4CBC">
        <w:rPr>
          <w:rFonts w:cstheme="minorHAnsi"/>
        </w:rPr>
        <w:t xml:space="preserve">como </w:t>
      </w:r>
      <w:r w:rsidR="006A29B7" w:rsidRPr="009E4CBC">
        <w:rPr>
          <w:rFonts w:cstheme="minorHAnsi"/>
        </w:rPr>
        <w:t xml:space="preserve">moneda funcional </w:t>
      </w:r>
      <w:r w:rsidRPr="009E4CBC">
        <w:rPr>
          <w:rFonts w:cstheme="minorHAnsi"/>
        </w:rPr>
        <w:t xml:space="preserve">a </w:t>
      </w:r>
      <w:r w:rsidR="006A29B7" w:rsidRPr="009E4CBC">
        <w:rPr>
          <w:rFonts w:cstheme="minorHAnsi"/>
        </w:rPr>
        <w:t>la moneda del principal entorno económico en el que opera la entidad</w:t>
      </w:r>
      <w:r w:rsidRPr="009E4CBC">
        <w:rPr>
          <w:rFonts w:cstheme="minorHAnsi"/>
        </w:rPr>
        <w:t xml:space="preserve"> y</w:t>
      </w:r>
      <w:r w:rsidR="006A29B7" w:rsidRPr="009E4CBC">
        <w:rPr>
          <w:rFonts w:cstheme="minorHAnsi"/>
        </w:rPr>
        <w:t xml:space="preserve"> proporcionó</w:t>
      </w:r>
      <w:r w:rsidRPr="009E4CBC">
        <w:rPr>
          <w:rFonts w:cstheme="minorHAnsi"/>
        </w:rPr>
        <w:t xml:space="preserve"> una</w:t>
      </w:r>
      <w:r w:rsidR="006A29B7" w:rsidRPr="009E4CBC">
        <w:rPr>
          <w:rFonts w:cstheme="minorHAnsi"/>
        </w:rPr>
        <w:t xml:space="preserve"> guía sobre cómo determinar la moneda funcional </w:t>
      </w:r>
      <w:r w:rsidRPr="009E4CBC">
        <w:rPr>
          <w:rFonts w:cstheme="minorHAnsi"/>
        </w:rPr>
        <w:t>de la entidad, que se encuentra disponible en los párrafos 9 a 14 de la norma</w:t>
      </w:r>
      <w:r w:rsidR="006A29B7" w:rsidRPr="009E4CBC">
        <w:rPr>
          <w:rFonts w:cstheme="minorHAnsi"/>
        </w:rPr>
        <w:t xml:space="preserve">. </w:t>
      </w:r>
      <w:r w:rsidRPr="009E4CBC">
        <w:rPr>
          <w:rFonts w:cstheme="minorHAnsi"/>
        </w:rPr>
        <w:t>Así, por ejemplo, la norma establece como principales factores a tener en cuenta: la moneda que influye principalmente en los precios de venta de bienes y servicios de la entidad; la moneda del país cuyas fuerzas competitivas y regulaciones determinan principalmente los precios de venta de sus bienes y servicios; y la moneda que influye principalmente en los costos laborales, materiales y de otro tipo de la provisión de bienes o servicios.</w:t>
      </w:r>
    </w:p>
    <w:p w14:paraId="7A8F7D0F" w14:textId="77777777" w:rsidR="00B47085" w:rsidRDefault="00967814" w:rsidP="009E4CBC">
      <w:pPr>
        <w:spacing w:line="240" w:lineRule="auto"/>
        <w:ind w:firstLine="708"/>
        <w:jc w:val="both"/>
        <w:rPr>
          <w:rFonts w:cstheme="minorHAnsi"/>
        </w:rPr>
      </w:pPr>
      <w:r w:rsidRPr="009E4CBC">
        <w:rPr>
          <w:rFonts w:cstheme="minorHAnsi"/>
        </w:rPr>
        <w:t xml:space="preserve">De acuerdo al párrafo 13 de la </w:t>
      </w:r>
      <w:r w:rsidR="00DA338A" w:rsidRPr="009E4CBC">
        <w:rPr>
          <w:rFonts w:cstheme="minorHAnsi"/>
        </w:rPr>
        <w:t>norma</w:t>
      </w:r>
      <w:r w:rsidRPr="009E4CBC">
        <w:rPr>
          <w:rFonts w:cstheme="minorHAnsi"/>
        </w:rPr>
        <w:t>, la moneda funcional de la entidad deberá reflejar las transacciones, sucesos y condiciones subyacentes que sean relevantes para la entidad. En consecuencia, una vez que la entidad determina cuál es su moneda funcional, sólo podrá cambiarla en tanto se produzca un cambio en tales transacciones, sucesos o condiciones.</w:t>
      </w:r>
      <w:r w:rsidR="00B07F66">
        <w:rPr>
          <w:rFonts w:cstheme="minorHAnsi"/>
        </w:rPr>
        <w:t xml:space="preserve"> </w:t>
      </w:r>
    </w:p>
    <w:p w14:paraId="5CE5CBF3" w14:textId="6DBD9192" w:rsidR="00967814" w:rsidRPr="009E4CBC" w:rsidRDefault="00EC5150" w:rsidP="009E4CBC">
      <w:pPr>
        <w:spacing w:line="240" w:lineRule="auto"/>
        <w:ind w:firstLine="708"/>
        <w:jc w:val="both"/>
        <w:rPr>
          <w:rFonts w:cstheme="minorHAnsi"/>
        </w:rPr>
      </w:pPr>
      <w:r w:rsidRPr="009E4CBC">
        <w:rPr>
          <w:rFonts w:cstheme="minorHAnsi"/>
        </w:rPr>
        <w:t xml:space="preserve">En este sentido, </w:t>
      </w:r>
      <w:r w:rsidR="00AD0F2B" w:rsidRPr="009E4CBC">
        <w:rPr>
          <w:rFonts w:cstheme="minorHAnsi"/>
        </w:rPr>
        <w:t>adquiere</w:t>
      </w:r>
      <w:r w:rsidRPr="009E4CBC">
        <w:rPr>
          <w:rFonts w:cstheme="minorHAnsi"/>
        </w:rPr>
        <w:t xml:space="preserve"> gran relevancia determinar correctamente cuál es la moneda funcional de una entidad. Según Van Greuning, Scott y Terblanche (2011), las operaciones o saldos en una moneda extranjera o la tenencia de un negocio en el extranjero exponen a la entidad a ganancias o pérdidas cambiarias. Los movimientos de moneda extranjera son volátiles y sensibles a las condiciones globales y podrían tener un efecto significativo en la </w:t>
      </w:r>
      <w:r w:rsidRPr="009E4CBC">
        <w:rPr>
          <w:rFonts w:cstheme="minorHAnsi"/>
        </w:rPr>
        <w:lastRenderedPageBreak/>
        <w:t>rentabilidad de una entidad que haya realizado tales transacciones. Las empresas deben contabilizar con precisión las operaciones y saldos en moneda extranjera, con el fin de evaluar el riesgo y el impacto asociado.</w:t>
      </w:r>
    </w:p>
    <w:p w14:paraId="76CE031D" w14:textId="2891CEA8" w:rsidR="00277CC7" w:rsidRPr="009E4CBC" w:rsidRDefault="0051508F" w:rsidP="009E4CBC">
      <w:pPr>
        <w:spacing w:line="240" w:lineRule="auto"/>
        <w:ind w:firstLine="708"/>
        <w:jc w:val="both"/>
        <w:rPr>
          <w:rFonts w:cstheme="minorHAnsi"/>
        </w:rPr>
      </w:pPr>
      <w:r w:rsidRPr="009E4CBC">
        <w:rPr>
          <w:rFonts w:cstheme="minorHAnsi"/>
        </w:rPr>
        <w:t>C</w:t>
      </w:r>
      <w:r w:rsidR="00A96E69" w:rsidRPr="009E4CBC">
        <w:rPr>
          <w:rFonts w:cstheme="minorHAnsi"/>
        </w:rPr>
        <w:t xml:space="preserve">omo </w:t>
      </w:r>
      <w:r w:rsidRPr="009E4CBC">
        <w:rPr>
          <w:rFonts w:cstheme="minorHAnsi"/>
        </w:rPr>
        <w:t xml:space="preserve">afirma </w:t>
      </w:r>
      <w:r w:rsidR="00A96E69" w:rsidRPr="009E4CBC">
        <w:rPr>
          <w:rFonts w:cstheme="minorHAnsi"/>
        </w:rPr>
        <w:t>Cayirli (2020), en un contexto actual</w:t>
      </w:r>
      <w:r w:rsidR="00C87AE2" w:rsidRPr="009E4CBC">
        <w:rPr>
          <w:rFonts w:cstheme="minorHAnsi"/>
        </w:rPr>
        <w:t xml:space="preserve"> regido por la globalización y</w:t>
      </w:r>
      <w:r w:rsidR="00A96E69" w:rsidRPr="009E4CBC">
        <w:rPr>
          <w:rFonts w:cstheme="minorHAnsi"/>
        </w:rPr>
        <w:t xml:space="preserve"> en el cual la interacción de las empresas aumenta constantemente a través de las fronteras, </w:t>
      </w:r>
      <w:r w:rsidR="00C87AE2" w:rsidRPr="009E4CBC">
        <w:rPr>
          <w:rFonts w:cstheme="minorHAnsi"/>
        </w:rPr>
        <w:t>la contabilidad de las transacciones de divisas y la conversión de los estados financieros se ha convertido en un tema importante tanto para las empresas como para los usuarios de información financiera.</w:t>
      </w:r>
      <w:r w:rsidRPr="009E4CBC">
        <w:rPr>
          <w:rFonts w:cstheme="minorHAnsi"/>
        </w:rPr>
        <w:t xml:space="preserve"> </w:t>
      </w:r>
      <w:r w:rsidR="00277CC7" w:rsidRPr="009E4CBC">
        <w:rPr>
          <w:rFonts w:cstheme="minorHAnsi"/>
        </w:rPr>
        <w:t>Con respecto a la moneda de presentación, al momento de preparar la revisión de la NIC 21 de 1993, el IASB se debatió con respecto a si se debía permitir que una entidad presentara sus estados financieros en una moneda (o monedas) diferent</w:t>
      </w:r>
      <w:r w:rsidR="003562D7" w:rsidRPr="009E4CBC">
        <w:rPr>
          <w:rFonts w:cstheme="minorHAnsi"/>
        </w:rPr>
        <w:t>es</w:t>
      </w:r>
      <w:r w:rsidR="00277CC7" w:rsidRPr="009E4CBC">
        <w:rPr>
          <w:rFonts w:cstheme="minorHAnsi"/>
        </w:rPr>
        <w:t xml:space="preserve"> a su moneda funcional, y finalmente decidió que se debe permitir a las entidades presentar sus estados financieros en cualquier moneda (o monedas).</w:t>
      </w:r>
    </w:p>
    <w:p w14:paraId="171F22D9" w14:textId="2A311F55" w:rsidR="008B26F9" w:rsidRPr="009E4CBC" w:rsidRDefault="008B26F9" w:rsidP="009E4CBC">
      <w:pPr>
        <w:spacing w:line="240" w:lineRule="auto"/>
        <w:ind w:firstLine="708"/>
        <w:jc w:val="both"/>
        <w:rPr>
          <w:rFonts w:cstheme="minorHAnsi"/>
        </w:rPr>
      </w:pPr>
      <w:r w:rsidRPr="009E4CBC">
        <w:rPr>
          <w:rFonts w:cstheme="minorHAnsi"/>
        </w:rPr>
        <w:t xml:space="preserve">La NIC 21 dispone a su vez que, si una empresa lleva a cabo sus actividades en un contexto de una economía hiperinflacionaria, esto impactará sobre su moneda funcional y por ende la misma deberá aplicar la NIC 29 </w:t>
      </w:r>
      <w:r w:rsidRPr="009E4CBC">
        <w:rPr>
          <w:rFonts w:cstheme="minorHAnsi"/>
          <w:i/>
        </w:rPr>
        <w:t>Información Financiera en Economías Hiperinflacionarias</w:t>
      </w:r>
      <w:r w:rsidRPr="009E4CBC">
        <w:rPr>
          <w:rFonts w:cstheme="minorHAnsi"/>
        </w:rPr>
        <w:t xml:space="preserve"> para efectuar la conversión de los estados financieros. El procedimiento dispone que en primer lugar se reexpresen los estados financieros </w:t>
      </w:r>
      <w:proofErr w:type="gramStart"/>
      <w:r w:rsidRPr="009E4CBC">
        <w:rPr>
          <w:rFonts w:cstheme="minorHAnsi"/>
        </w:rPr>
        <w:t>de acuerdo a</w:t>
      </w:r>
      <w:proofErr w:type="gramEnd"/>
      <w:r w:rsidRPr="009E4CBC">
        <w:rPr>
          <w:rFonts w:cstheme="minorHAnsi"/>
        </w:rPr>
        <w:t xml:space="preserve"> NIC 29, y luego se conviertan todos los importes al tipo de cambio de cierre de la fecha del último estado de situación financiera (método ajustar-convertir). </w:t>
      </w:r>
      <w:r w:rsidR="00B47085">
        <w:rPr>
          <w:rFonts w:cstheme="minorHAnsi"/>
        </w:rPr>
        <w:t>C</w:t>
      </w:r>
      <w:r w:rsidRPr="009E4CBC">
        <w:rPr>
          <w:rFonts w:cstheme="minorHAnsi"/>
        </w:rPr>
        <w:t xml:space="preserve">omo menciona </w:t>
      </w:r>
      <w:proofErr w:type="spellStart"/>
      <w:r w:rsidRPr="009E4CBC">
        <w:rPr>
          <w:rFonts w:cstheme="minorHAnsi"/>
        </w:rPr>
        <w:t>Cayirli</w:t>
      </w:r>
      <w:proofErr w:type="spellEnd"/>
      <w:r w:rsidRPr="009E4CBC">
        <w:rPr>
          <w:rFonts w:cstheme="minorHAnsi"/>
        </w:rPr>
        <w:t xml:space="preserve"> (2020), la NIC 29 no establece una tasa absoluta a la que se considera que una economía es hiperinflacionaria, por ende</w:t>
      </w:r>
      <w:r w:rsidR="00BC7F9A">
        <w:rPr>
          <w:rFonts w:cstheme="minorHAnsi"/>
        </w:rPr>
        <w:t>,</w:t>
      </w:r>
      <w:r w:rsidRPr="009E4CBC">
        <w:rPr>
          <w:rFonts w:cstheme="minorHAnsi"/>
        </w:rPr>
        <w:t xml:space="preserve"> deja a juicio del emisor de la información que tasa deberá considerar para saber si lo es. </w:t>
      </w:r>
      <w:r w:rsidR="000D2BE4" w:rsidRPr="009E4CBC">
        <w:rPr>
          <w:rFonts w:cstheme="minorHAnsi"/>
        </w:rPr>
        <w:t>PricewaterhouseCoopers</w:t>
      </w:r>
      <w:r w:rsidRPr="009E4CBC">
        <w:rPr>
          <w:rFonts w:cstheme="minorHAnsi"/>
        </w:rPr>
        <w:t xml:space="preserve"> (2019) menciona que, si la moneda funcional es una moneda local que está sujeta a un contexto de este tipo, la información contenida en los estados financieros atenta contra uno de los principios de la información útil que es la relevancia, por lo tanto, es necesario realizar ajustes para poder estabilizar, de manera relativa, la unidad de medida. </w:t>
      </w:r>
    </w:p>
    <w:p w14:paraId="431506CA" w14:textId="3EDAA578" w:rsidR="002907AC" w:rsidRPr="009E4CBC" w:rsidRDefault="008B26F9" w:rsidP="009E4CBC">
      <w:pPr>
        <w:spacing w:line="240" w:lineRule="auto"/>
        <w:ind w:firstLine="708"/>
        <w:jc w:val="both"/>
        <w:rPr>
          <w:rFonts w:cstheme="minorHAnsi"/>
        </w:rPr>
      </w:pPr>
      <w:r w:rsidRPr="009E4CBC">
        <w:rPr>
          <w:rFonts w:cstheme="minorHAnsi"/>
        </w:rPr>
        <w:t xml:space="preserve">Cabe mencionar que, según Street y Gray (1999), la principal diferencia que existía entre la NIC 21 revisada en 1993 y </w:t>
      </w:r>
      <w:r w:rsidR="00CB56AE" w:rsidRPr="009E4CBC">
        <w:rPr>
          <w:rFonts w:cstheme="minorHAnsi"/>
        </w:rPr>
        <w:t>el</w:t>
      </w:r>
      <w:r w:rsidRPr="009E4CBC">
        <w:rPr>
          <w:rFonts w:cstheme="minorHAnsi"/>
        </w:rPr>
        <w:t xml:space="preserve"> SFAS 52 consistía en que </w:t>
      </w:r>
      <w:r w:rsidR="00B47085" w:rsidRPr="009E4CBC">
        <w:rPr>
          <w:rFonts w:cstheme="minorHAnsi"/>
        </w:rPr>
        <w:t>ést</w:t>
      </w:r>
      <w:r w:rsidR="00B47085">
        <w:rPr>
          <w:rFonts w:cstheme="minorHAnsi"/>
        </w:rPr>
        <w:t>e</w:t>
      </w:r>
      <w:r w:rsidR="00B47085" w:rsidRPr="009E4CBC">
        <w:rPr>
          <w:rFonts w:cstheme="minorHAnsi"/>
        </w:rPr>
        <w:t xml:space="preserve"> últim</w:t>
      </w:r>
      <w:r w:rsidR="00B47085">
        <w:rPr>
          <w:rFonts w:cstheme="minorHAnsi"/>
        </w:rPr>
        <w:t>o</w:t>
      </w:r>
      <w:r w:rsidR="00B47085" w:rsidRPr="009E4CBC">
        <w:rPr>
          <w:rFonts w:cstheme="minorHAnsi"/>
        </w:rPr>
        <w:t xml:space="preserve"> </w:t>
      </w:r>
      <w:r w:rsidRPr="009E4CBC">
        <w:rPr>
          <w:rFonts w:cstheme="minorHAnsi"/>
        </w:rPr>
        <w:t>no permitía la reexpresión de estados financieros en economías hiperinflacionarias, mientras que la NIC sí.</w:t>
      </w:r>
    </w:p>
    <w:p w14:paraId="7454DCA3" w14:textId="77777777" w:rsidR="00E31398" w:rsidRPr="009E4CBC" w:rsidRDefault="00E31398" w:rsidP="009E4CBC">
      <w:pPr>
        <w:spacing w:line="240" w:lineRule="auto"/>
        <w:ind w:firstLine="708"/>
        <w:jc w:val="both"/>
        <w:rPr>
          <w:rFonts w:cstheme="minorHAnsi"/>
        </w:rPr>
      </w:pPr>
    </w:p>
    <w:p w14:paraId="585A6792" w14:textId="7CB1C50A" w:rsidR="00635A46" w:rsidRPr="009E4CBC" w:rsidRDefault="005F0BA4" w:rsidP="009E4CBC">
      <w:pPr>
        <w:pStyle w:val="Ttulo2"/>
        <w:numPr>
          <w:ilvl w:val="3"/>
          <w:numId w:val="24"/>
        </w:numPr>
        <w:spacing w:line="240" w:lineRule="auto"/>
        <w:rPr>
          <w:rFonts w:cstheme="minorHAnsi"/>
        </w:rPr>
      </w:pPr>
      <w:r w:rsidRPr="009E4CBC">
        <w:rPr>
          <w:rFonts w:cstheme="minorHAnsi"/>
        </w:rPr>
        <w:t>Métodos de conversión</w:t>
      </w:r>
      <w:r w:rsidR="00AA23B7" w:rsidRPr="009E4CBC">
        <w:rPr>
          <w:rFonts w:cstheme="minorHAnsi"/>
        </w:rPr>
        <w:t xml:space="preserve"> de acuerdo a la moneda funcional</w:t>
      </w:r>
    </w:p>
    <w:p w14:paraId="1756031A" w14:textId="77777777" w:rsidR="005F0BA4" w:rsidRPr="009E4CBC" w:rsidRDefault="005F0BA4" w:rsidP="009E4CBC">
      <w:pPr>
        <w:spacing w:line="240" w:lineRule="auto"/>
        <w:ind w:firstLine="708"/>
        <w:jc w:val="both"/>
        <w:rPr>
          <w:rFonts w:cstheme="minorHAnsi"/>
        </w:rPr>
      </w:pPr>
      <w:r w:rsidRPr="009E4CBC">
        <w:rPr>
          <w:rFonts w:cstheme="minorHAnsi"/>
        </w:rPr>
        <w:t>En el 2003, el IASB empieza a considerar la coincidencia o discrepancia entre la moneda funcional de la controlada y del inversor, y es por esto por lo que modifica la NIC 21. La misma trata el caso en que inversor y participada tienen distintas monedas de medición, ya que, en el supuesto contrario, se aplicaría el método temporal.</w:t>
      </w:r>
    </w:p>
    <w:p w14:paraId="59C1AAAD" w14:textId="77777777" w:rsidR="005F0BA4" w:rsidRPr="009E4CBC" w:rsidRDefault="003250D0" w:rsidP="009E4CBC">
      <w:pPr>
        <w:spacing w:line="240" w:lineRule="auto"/>
        <w:ind w:firstLine="708"/>
        <w:jc w:val="both"/>
        <w:rPr>
          <w:rFonts w:cstheme="minorHAnsi"/>
        </w:rPr>
      </w:pPr>
      <w:r w:rsidRPr="009E4CBC">
        <w:rPr>
          <w:rFonts w:cstheme="minorHAnsi"/>
        </w:rPr>
        <w:t>En este sentido, cuando la moneda funcional difiere de la moneda de presentación, la entidad debe convertir sus resultados y situación financiera a la moneda de presentación requerida</w:t>
      </w:r>
      <w:r w:rsidR="00730421" w:rsidRPr="009E4CBC">
        <w:rPr>
          <w:rFonts w:cstheme="minorHAnsi"/>
        </w:rPr>
        <w:t xml:space="preserve"> utilizando el método establecido en los párrafos 38 a 49 de la norma</w:t>
      </w:r>
      <w:r w:rsidRPr="009E4CBC">
        <w:rPr>
          <w:rFonts w:cstheme="minorHAnsi"/>
        </w:rPr>
        <w:t xml:space="preserve">. La NIC 21 determina que: en el caso de </w:t>
      </w:r>
      <w:r w:rsidR="005F0BA4" w:rsidRPr="009E4CBC">
        <w:rPr>
          <w:rFonts w:cstheme="minorHAnsi"/>
        </w:rPr>
        <w:t xml:space="preserve">los activos y pasivos se aplica el tipo de cambio de la fecha de los estados financieros de la subsidiaria </w:t>
      </w:r>
      <w:r w:rsidRPr="009E4CBC">
        <w:rPr>
          <w:rFonts w:cstheme="minorHAnsi"/>
        </w:rPr>
        <w:t>(s</w:t>
      </w:r>
      <w:r w:rsidR="005F0BA4" w:rsidRPr="009E4CBC">
        <w:rPr>
          <w:rFonts w:cstheme="minorHAnsi"/>
        </w:rPr>
        <w:t>i no existiera, la primera que apareciera con posterioridad</w:t>
      </w:r>
      <w:r w:rsidRPr="009E4CBC">
        <w:rPr>
          <w:rFonts w:cstheme="minorHAnsi"/>
        </w:rPr>
        <w:t xml:space="preserve">); </w:t>
      </w:r>
      <w:r w:rsidR="005F0BA4" w:rsidRPr="009E4CBC">
        <w:rPr>
          <w:rFonts w:cstheme="minorHAnsi"/>
        </w:rPr>
        <w:t>los ingresos, gastos, ganancias y pérdidas se convierten al tipo de cambio histórico de cada transacción, aunque también se puede usar una tasa promedio</w:t>
      </w:r>
      <w:r w:rsidRPr="009E4CBC">
        <w:rPr>
          <w:rFonts w:cstheme="minorHAnsi"/>
        </w:rPr>
        <w:t>; todas las diferencias de cambio resultantes se deben reconocer en el otro resultado integral dentro de los estados financieros consolidados (</w:t>
      </w:r>
      <w:r w:rsidR="005F0BA4" w:rsidRPr="009E4CBC">
        <w:rPr>
          <w:rFonts w:cstheme="minorHAnsi"/>
        </w:rPr>
        <w:t>hasta que se realice la venta de la respectiva inversión</w:t>
      </w:r>
      <w:r w:rsidRPr="009E4CBC">
        <w:rPr>
          <w:rFonts w:cstheme="minorHAnsi"/>
        </w:rPr>
        <w:t>)</w:t>
      </w:r>
      <w:r w:rsidR="005F0BA4" w:rsidRPr="009E4CBC">
        <w:rPr>
          <w:rFonts w:cstheme="minorHAnsi"/>
        </w:rPr>
        <w:t>.</w:t>
      </w:r>
    </w:p>
    <w:p w14:paraId="75BD8B75" w14:textId="5BE832B3" w:rsidR="005F0BA4" w:rsidRPr="009E4CBC" w:rsidRDefault="00730421" w:rsidP="009E4CBC">
      <w:pPr>
        <w:spacing w:line="240" w:lineRule="auto"/>
        <w:ind w:firstLine="708"/>
        <w:jc w:val="both"/>
        <w:rPr>
          <w:rFonts w:cstheme="minorHAnsi"/>
        </w:rPr>
      </w:pPr>
      <w:r w:rsidRPr="009E4CBC">
        <w:rPr>
          <w:rFonts w:cstheme="minorHAnsi"/>
        </w:rPr>
        <w:t>De acuerdo con el párrafo 41 de la norma,</w:t>
      </w:r>
      <w:r w:rsidR="003250D0" w:rsidRPr="009E4CBC">
        <w:rPr>
          <w:rFonts w:cstheme="minorHAnsi"/>
        </w:rPr>
        <w:t xml:space="preserve"> la razón </w:t>
      </w:r>
      <w:r w:rsidRPr="009E4CBC">
        <w:rPr>
          <w:rFonts w:cstheme="minorHAnsi"/>
        </w:rPr>
        <w:t>de</w:t>
      </w:r>
      <w:r w:rsidR="003250D0" w:rsidRPr="009E4CBC">
        <w:rPr>
          <w:rFonts w:cstheme="minorHAnsi"/>
        </w:rPr>
        <w:t xml:space="preserve"> que tales diferencias de cambio no se reconozcan como resultados del periodo en que se producen, </w:t>
      </w:r>
      <w:r w:rsidRPr="009E4CBC">
        <w:rPr>
          <w:rFonts w:cstheme="minorHAnsi"/>
        </w:rPr>
        <w:t xml:space="preserve">es que tienen poco o </w:t>
      </w:r>
      <w:r w:rsidRPr="009E4CBC">
        <w:rPr>
          <w:rFonts w:cstheme="minorHAnsi"/>
        </w:rPr>
        <w:lastRenderedPageBreak/>
        <w:t>ningún efecto directo sobre los flujos de efectivo presentes y futuros derivados de las actividade</w:t>
      </w:r>
      <w:r w:rsidR="00E31398" w:rsidRPr="009E4CBC">
        <w:rPr>
          <w:rFonts w:cstheme="minorHAnsi"/>
        </w:rPr>
        <w:t>s. Asimismo, según el IASB</w:t>
      </w:r>
      <w:r w:rsidR="005B0BAC">
        <w:rPr>
          <w:rFonts w:cstheme="minorHAnsi"/>
        </w:rPr>
        <w:t>,</w:t>
      </w:r>
      <w:r w:rsidRPr="009E4CBC">
        <w:rPr>
          <w:rFonts w:cstheme="minorHAnsi"/>
        </w:rPr>
        <w:t xml:space="preserve"> el hecho de presentar los estados financieros en una moneda </w:t>
      </w:r>
      <w:r w:rsidR="00BC7F9A" w:rsidRPr="009E4CBC">
        <w:rPr>
          <w:rFonts w:cstheme="minorHAnsi"/>
        </w:rPr>
        <w:t>diferente</w:t>
      </w:r>
      <w:r w:rsidRPr="009E4CBC">
        <w:rPr>
          <w:rFonts w:cstheme="minorHAnsi"/>
        </w:rPr>
        <w:t xml:space="preserve"> no debe modificar el modo en que se miden los elementos subyacentes, con lo que el método de conversión debe meramente expresar los importes subyacentes, tal como están medidos en la moneda funcional, en una moneda diferente.</w:t>
      </w:r>
    </w:p>
    <w:p w14:paraId="36C8FD2C" w14:textId="77777777" w:rsidR="00AA23B7" w:rsidRPr="009E4CBC" w:rsidRDefault="00AA23B7" w:rsidP="009E4CBC">
      <w:pPr>
        <w:spacing w:line="240" w:lineRule="auto"/>
        <w:jc w:val="both"/>
        <w:rPr>
          <w:rFonts w:cstheme="minorHAnsi"/>
          <w:color w:val="FF0000"/>
        </w:rPr>
      </w:pPr>
    </w:p>
    <w:p w14:paraId="0A467F5B" w14:textId="6A1C188E" w:rsidR="009E4CBC" w:rsidRPr="009E4CBC" w:rsidRDefault="00B22348" w:rsidP="009E4CBC">
      <w:pPr>
        <w:pStyle w:val="Ttulo2"/>
        <w:spacing w:line="240" w:lineRule="auto"/>
        <w:rPr>
          <w:rFonts w:cstheme="minorHAnsi"/>
        </w:rPr>
      </w:pPr>
      <w:r>
        <w:rPr>
          <w:rFonts w:cstheme="minorHAnsi"/>
        </w:rPr>
        <w:t xml:space="preserve"> </w:t>
      </w:r>
      <w:r w:rsidR="00E31398" w:rsidRPr="009E4CBC">
        <w:rPr>
          <w:rFonts w:cstheme="minorHAnsi"/>
        </w:rPr>
        <w:t>Regulación contable argentina</w:t>
      </w:r>
    </w:p>
    <w:p w14:paraId="54733B91" w14:textId="77777777" w:rsidR="009E4CBC" w:rsidRPr="009E4CBC" w:rsidRDefault="009E4CBC" w:rsidP="009E4CBC">
      <w:pPr>
        <w:rPr>
          <w:rFonts w:cstheme="minorHAnsi"/>
          <w:lang w:val="es-419"/>
        </w:rPr>
      </w:pPr>
    </w:p>
    <w:p w14:paraId="259DADD1" w14:textId="01B7DD3F" w:rsidR="004145D3" w:rsidRPr="009E4CBC" w:rsidRDefault="00933228" w:rsidP="009E4CBC">
      <w:pPr>
        <w:pStyle w:val="Ttulo2"/>
        <w:numPr>
          <w:ilvl w:val="2"/>
          <w:numId w:val="24"/>
        </w:numPr>
        <w:spacing w:line="240" w:lineRule="auto"/>
        <w:rPr>
          <w:rFonts w:cstheme="minorHAnsi"/>
        </w:rPr>
      </w:pPr>
      <w:r w:rsidRPr="009E4CBC">
        <w:rPr>
          <w:rFonts w:cstheme="minorHAnsi"/>
        </w:rPr>
        <w:t>La necesidad de emitir normas contables sobre conversión monetaria</w:t>
      </w:r>
      <w:r w:rsidR="004145D3" w:rsidRPr="009E4CBC">
        <w:rPr>
          <w:rFonts w:cstheme="minorHAnsi"/>
        </w:rPr>
        <w:t xml:space="preserve"> en Argentina</w:t>
      </w:r>
      <w:r w:rsidRPr="009E4CBC">
        <w:rPr>
          <w:rFonts w:cstheme="minorHAnsi"/>
        </w:rPr>
        <w:t>, el camino hacia la Resolución Técnica Nº 13</w:t>
      </w:r>
      <w:r w:rsidR="00623AD2" w:rsidRPr="009E4CBC">
        <w:rPr>
          <w:rFonts w:cstheme="minorHAnsi"/>
        </w:rPr>
        <w:t xml:space="preserve"> del año 1996</w:t>
      </w:r>
    </w:p>
    <w:p w14:paraId="36A45338" w14:textId="6FBDFB33" w:rsidR="00623AD2" w:rsidRPr="009E4CBC" w:rsidRDefault="004145D3" w:rsidP="009E4CBC">
      <w:pPr>
        <w:widowControl w:val="0"/>
        <w:spacing w:line="240" w:lineRule="auto"/>
        <w:jc w:val="both"/>
        <w:rPr>
          <w:rFonts w:cstheme="minorHAnsi"/>
        </w:rPr>
      </w:pPr>
      <w:r w:rsidRPr="009E4CBC">
        <w:rPr>
          <w:rFonts w:cstheme="minorHAnsi"/>
        </w:rPr>
        <w:tab/>
        <w:t xml:space="preserve">La globalización de la economía y la paulatina internacionalización de los negocios que se da a partir de la década de los noventa </w:t>
      </w:r>
      <w:r w:rsidR="007B7A3B" w:rsidRPr="009E4CBC">
        <w:rPr>
          <w:rFonts w:cstheme="minorHAnsi"/>
        </w:rPr>
        <w:t>exhib</w:t>
      </w:r>
      <w:r w:rsidR="006401A1" w:rsidRPr="009E4CBC">
        <w:rPr>
          <w:rFonts w:cstheme="minorHAnsi"/>
        </w:rPr>
        <w:t>ieron</w:t>
      </w:r>
      <w:r w:rsidRPr="009E4CBC">
        <w:rPr>
          <w:rFonts w:cstheme="minorHAnsi"/>
        </w:rPr>
        <w:t xml:space="preserve"> la carencia de las normas contables profesionales argentinas sobre cómo llevar a cabo la conversión de estados </w:t>
      </w:r>
      <w:r w:rsidR="007B7A3B" w:rsidRPr="009E4CBC">
        <w:rPr>
          <w:rFonts w:cstheme="minorHAnsi"/>
        </w:rPr>
        <w:t xml:space="preserve">contables, siendo </w:t>
      </w:r>
      <w:r w:rsidRPr="009E4CBC">
        <w:rPr>
          <w:rFonts w:cstheme="minorHAnsi"/>
        </w:rPr>
        <w:t xml:space="preserve">esto necesario para la consolidación o para la aplicación del método del valor patrimonial proporcional (Torres, </w:t>
      </w:r>
      <w:r w:rsidR="007B7A3B" w:rsidRPr="009E4CBC">
        <w:rPr>
          <w:rFonts w:cstheme="minorHAnsi"/>
        </w:rPr>
        <w:t>2010</w:t>
      </w:r>
      <w:r w:rsidRPr="009E4CBC">
        <w:rPr>
          <w:rFonts w:cstheme="minorHAnsi"/>
        </w:rPr>
        <w:t>). En el año 1996</w:t>
      </w:r>
      <w:r w:rsidR="006401A1" w:rsidRPr="009E4CBC">
        <w:rPr>
          <w:rFonts w:cstheme="minorHAnsi"/>
        </w:rPr>
        <w:t>,</w:t>
      </w:r>
      <w:r w:rsidRPr="009E4CBC">
        <w:rPr>
          <w:rFonts w:cstheme="minorHAnsi"/>
        </w:rPr>
        <w:t xml:space="preserve"> la </w:t>
      </w:r>
      <w:r w:rsidR="008735B7" w:rsidRPr="008735B7">
        <w:rPr>
          <w:rFonts w:cstheme="minorHAnsi"/>
        </w:rPr>
        <w:t xml:space="preserve">Federación Argentina de Consejos Profesionales de Ciencias Económicas </w:t>
      </w:r>
      <w:r w:rsidR="008735B7">
        <w:rPr>
          <w:rFonts w:cstheme="minorHAnsi"/>
        </w:rPr>
        <w:t>(</w:t>
      </w:r>
      <w:r w:rsidRPr="009E4CBC">
        <w:rPr>
          <w:rFonts w:cstheme="minorHAnsi"/>
        </w:rPr>
        <w:t>FACPCE</w:t>
      </w:r>
      <w:r w:rsidR="008735B7">
        <w:rPr>
          <w:rFonts w:cstheme="minorHAnsi"/>
        </w:rPr>
        <w:t>)</w:t>
      </w:r>
      <w:r w:rsidRPr="009E4CBC">
        <w:rPr>
          <w:rFonts w:cstheme="minorHAnsi"/>
        </w:rPr>
        <w:t xml:space="preserve"> emite la Resolución Técnica N°13 </w:t>
      </w:r>
      <w:r w:rsidRPr="009E4CBC">
        <w:rPr>
          <w:rFonts w:cstheme="minorHAnsi"/>
          <w:i/>
        </w:rPr>
        <w:t>Conversiones de Estados Contables</w:t>
      </w:r>
      <w:r w:rsidR="008123C1" w:rsidRPr="009E4CBC">
        <w:rPr>
          <w:rFonts w:cstheme="minorHAnsi"/>
        </w:rPr>
        <w:t xml:space="preserve"> (RT13)</w:t>
      </w:r>
      <w:r w:rsidR="00933228" w:rsidRPr="009E4CBC">
        <w:rPr>
          <w:rFonts w:cstheme="minorHAnsi"/>
        </w:rPr>
        <w:t xml:space="preserve">, modificada y </w:t>
      </w:r>
      <w:r w:rsidRPr="009E4CBC">
        <w:rPr>
          <w:rFonts w:cstheme="minorHAnsi"/>
        </w:rPr>
        <w:t xml:space="preserve">posteriormente reemplazada, en el año 2000, </w:t>
      </w:r>
      <w:r w:rsidR="003D4BE8" w:rsidRPr="009E4CBC">
        <w:rPr>
          <w:rFonts w:cstheme="minorHAnsi"/>
        </w:rPr>
        <w:t xml:space="preserve">por la Resolución Técnica N°18 </w:t>
      </w:r>
      <w:r w:rsidRPr="009E4CBC">
        <w:rPr>
          <w:rFonts w:cstheme="minorHAnsi"/>
          <w:i/>
        </w:rPr>
        <w:t>Normas Contables Profesionales: desarrollo de algunas cuestiones de aplicación particular</w:t>
      </w:r>
      <w:r w:rsidR="008735B7">
        <w:rPr>
          <w:rFonts w:cstheme="minorHAnsi"/>
          <w:i/>
        </w:rPr>
        <w:t xml:space="preserve">, </w:t>
      </w:r>
      <w:r w:rsidR="008123C1" w:rsidRPr="009E4CBC">
        <w:rPr>
          <w:rFonts w:cstheme="minorHAnsi"/>
        </w:rPr>
        <w:t>RT18</w:t>
      </w:r>
      <w:r w:rsidR="008735B7">
        <w:rPr>
          <w:rFonts w:cstheme="minorHAnsi"/>
        </w:rPr>
        <w:t>, (FACPCE, 2000b</w:t>
      </w:r>
      <w:r w:rsidR="008123C1" w:rsidRPr="009E4CBC">
        <w:rPr>
          <w:rFonts w:cstheme="minorHAnsi"/>
        </w:rPr>
        <w:t xml:space="preserve">) </w:t>
      </w:r>
      <w:r w:rsidRPr="009E4CBC">
        <w:rPr>
          <w:rFonts w:cstheme="minorHAnsi"/>
        </w:rPr>
        <w:t xml:space="preserve">la </w:t>
      </w:r>
      <w:r w:rsidR="0078329E" w:rsidRPr="009E4CBC">
        <w:rPr>
          <w:rFonts w:cstheme="minorHAnsi"/>
        </w:rPr>
        <w:t>cual,</w:t>
      </w:r>
      <w:r w:rsidRPr="009E4CBC">
        <w:rPr>
          <w:rFonts w:cstheme="minorHAnsi"/>
        </w:rPr>
        <w:t xml:space="preserve"> en su segunda parte, trata dicho tema.</w:t>
      </w:r>
    </w:p>
    <w:p w14:paraId="78046A1C" w14:textId="64F81D7E" w:rsidR="004145D3" w:rsidRPr="009E4CBC" w:rsidRDefault="004145D3" w:rsidP="009E4CBC">
      <w:pPr>
        <w:widowControl w:val="0"/>
        <w:spacing w:line="240" w:lineRule="auto"/>
        <w:ind w:firstLine="709"/>
        <w:jc w:val="both"/>
        <w:rPr>
          <w:rFonts w:cstheme="minorHAnsi"/>
        </w:rPr>
      </w:pPr>
      <w:r w:rsidRPr="009E4CBC">
        <w:rPr>
          <w:rFonts w:cstheme="minorHAnsi"/>
        </w:rPr>
        <w:t xml:space="preserve">Tal como se indica en la primera parte, inciso </w:t>
      </w:r>
      <w:r w:rsidR="0051508F" w:rsidRPr="009E4CBC">
        <w:rPr>
          <w:rFonts w:cstheme="minorHAnsi"/>
        </w:rPr>
        <w:t>C</w:t>
      </w:r>
      <w:r w:rsidRPr="009E4CBC">
        <w:rPr>
          <w:rFonts w:cstheme="minorHAnsi"/>
        </w:rPr>
        <w:t xml:space="preserve"> de la </w:t>
      </w:r>
      <w:r w:rsidR="008123C1" w:rsidRPr="009E4CBC">
        <w:rPr>
          <w:rFonts w:cstheme="minorHAnsi"/>
        </w:rPr>
        <w:t>RT13</w:t>
      </w:r>
      <w:r w:rsidRPr="009E4CBC">
        <w:rPr>
          <w:rFonts w:cstheme="minorHAnsi"/>
        </w:rPr>
        <w:t>, al momento de su sanción, no existían</w:t>
      </w:r>
      <w:r w:rsidRPr="009E4CBC">
        <w:rPr>
          <w:rFonts w:cstheme="minorHAnsi"/>
          <w:color w:val="FF0000"/>
        </w:rPr>
        <w:t xml:space="preserve"> </w:t>
      </w:r>
      <w:r w:rsidRPr="009E4CBC">
        <w:rPr>
          <w:rFonts w:cstheme="minorHAnsi"/>
        </w:rPr>
        <w:t>normas específicas en materia de conversión de estados contables originalmente emitidos en moneda extranjera a moneda argentina. El proyecto de dicha resolución busca cubrir ese vacío y prevé soluciones técnicas adecuadas para el tratamiento del tema, con vigencia para los estados contables anuales o de períodos intermedios correspondiente a los ejercicios que se inicien a partir del 1</w:t>
      </w:r>
      <w:r w:rsidR="00705778">
        <w:rPr>
          <w:rFonts w:cstheme="minorHAnsi"/>
        </w:rPr>
        <w:t>°</w:t>
      </w:r>
      <w:r w:rsidRPr="009E4CBC">
        <w:rPr>
          <w:rFonts w:cstheme="minorHAnsi"/>
        </w:rPr>
        <w:t xml:space="preserve"> de julio de 1996.</w:t>
      </w:r>
    </w:p>
    <w:p w14:paraId="7BDFBA16" w14:textId="2C99D9C4" w:rsidR="008123C1" w:rsidRPr="009E4CBC" w:rsidRDefault="004145D3" w:rsidP="009E4CBC">
      <w:pPr>
        <w:spacing w:line="240" w:lineRule="auto"/>
        <w:ind w:firstLine="720"/>
        <w:jc w:val="both"/>
        <w:rPr>
          <w:rFonts w:cstheme="minorHAnsi"/>
        </w:rPr>
      </w:pPr>
      <w:r w:rsidRPr="009E4CBC">
        <w:rPr>
          <w:rFonts w:cstheme="minorHAnsi"/>
        </w:rPr>
        <w:t xml:space="preserve">Si bien la </w:t>
      </w:r>
      <w:r w:rsidR="008123C1" w:rsidRPr="009E4CBC">
        <w:rPr>
          <w:rFonts w:cstheme="minorHAnsi"/>
        </w:rPr>
        <w:t xml:space="preserve">RT13 </w:t>
      </w:r>
      <w:r w:rsidRPr="009E4CBC">
        <w:rPr>
          <w:rFonts w:cstheme="minorHAnsi"/>
        </w:rPr>
        <w:t>se emite en una fecha en la que la FACPCE ya estaba adherida a organismos internacionales de la profesión</w:t>
      </w:r>
      <w:r w:rsidR="0051508F" w:rsidRPr="009E4CBC">
        <w:rPr>
          <w:rFonts w:cstheme="minorHAnsi"/>
        </w:rPr>
        <w:t>,</w:t>
      </w:r>
      <w:r w:rsidR="00933228" w:rsidRPr="009E4CBC">
        <w:rPr>
          <w:rFonts w:cstheme="minorHAnsi"/>
        </w:rPr>
        <w:t xml:space="preserve"> como la Federación Internacional de Contadores </w:t>
      </w:r>
      <w:r w:rsidR="0051508F" w:rsidRPr="009E4CBC">
        <w:rPr>
          <w:rFonts w:cstheme="minorHAnsi"/>
        </w:rPr>
        <w:t>(</w:t>
      </w:r>
      <w:r w:rsidR="00933228" w:rsidRPr="009E4CBC">
        <w:rPr>
          <w:rFonts w:cstheme="minorHAnsi"/>
        </w:rPr>
        <w:t>conocida como IFAC</w:t>
      </w:r>
      <w:r w:rsidR="0051508F" w:rsidRPr="009E4CBC">
        <w:rPr>
          <w:rFonts w:cstheme="minorHAnsi"/>
        </w:rPr>
        <w:t>)</w:t>
      </w:r>
      <w:r w:rsidR="00933228" w:rsidRPr="009E4CBC">
        <w:rPr>
          <w:rFonts w:cstheme="minorHAnsi"/>
        </w:rPr>
        <w:t xml:space="preserve"> o el IASC</w:t>
      </w:r>
      <w:r w:rsidRPr="009E4CBC">
        <w:rPr>
          <w:rFonts w:cstheme="minorHAnsi"/>
        </w:rPr>
        <w:t xml:space="preserve"> (Torres, 2005), no se adoptaron las normas previstas en la NIC 21 del año 1993 por considerarlas inadecuadas</w:t>
      </w:r>
      <w:r w:rsidRPr="009E4CBC">
        <w:rPr>
          <w:rFonts w:cstheme="minorHAnsi"/>
          <w:color w:val="FF0000"/>
        </w:rPr>
        <w:t xml:space="preserve"> </w:t>
      </w:r>
      <w:r w:rsidRPr="009E4CBC">
        <w:rPr>
          <w:rFonts w:cstheme="minorHAnsi"/>
        </w:rPr>
        <w:t xml:space="preserve">e incompatibles con el modelo contable vigente en Argentina. La </w:t>
      </w:r>
      <w:r w:rsidR="008123C1" w:rsidRPr="009E4CBC">
        <w:rPr>
          <w:rFonts w:cstheme="minorHAnsi"/>
        </w:rPr>
        <w:t>RT13</w:t>
      </w:r>
      <w:r w:rsidRPr="009E4CBC">
        <w:rPr>
          <w:rFonts w:cstheme="minorHAnsi"/>
        </w:rPr>
        <w:t xml:space="preserve"> planteó el modelo</w:t>
      </w:r>
      <w:r w:rsidR="008123C1" w:rsidRPr="009E4CBC">
        <w:rPr>
          <w:rFonts w:cstheme="minorHAnsi"/>
        </w:rPr>
        <w:t xml:space="preserve"> a partir de dos supuestos:</w:t>
      </w:r>
    </w:p>
    <w:p w14:paraId="3BE3F269" w14:textId="7B1F53D3" w:rsidR="004145D3" w:rsidRPr="009E4CBC" w:rsidRDefault="004145D3" w:rsidP="009E4CBC">
      <w:pPr>
        <w:pStyle w:val="Prrafodelista"/>
        <w:numPr>
          <w:ilvl w:val="0"/>
          <w:numId w:val="29"/>
        </w:numPr>
        <w:spacing w:line="240" w:lineRule="auto"/>
        <w:ind w:left="714" w:hanging="357"/>
        <w:jc w:val="both"/>
        <w:rPr>
          <w:rFonts w:cstheme="minorHAnsi"/>
        </w:rPr>
      </w:pPr>
      <w:r w:rsidRPr="009E4CBC">
        <w:rPr>
          <w:rFonts w:cstheme="minorHAnsi"/>
        </w:rPr>
        <w:t xml:space="preserve">Ya que la conversión de estados contables tiene que ver con la unidad de medida, el procedimiento debe ser neutral a los criterios adoptados por el modelo contable vigente, como la medición de activos y pasivos y del capital a mantener. </w:t>
      </w:r>
    </w:p>
    <w:p w14:paraId="32D775A5" w14:textId="53EFBE5D" w:rsidR="004145D3" w:rsidRPr="009E4CBC" w:rsidRDefault="004145D3" w:rsidP="009E4CBC">
      <w:pPr>
        <w:numPr>
          <w:ilvl w:val="0"/>
          <w:numId w:val="29"/>
        </w:numPr>
        <w:spacing w:after="160" w:line="240" w:lineRule="auto"/>
        <w:ind w:left="714" w:hanging="357"/>
        <w:jc w:val="both"/>
        <w:rPr>
          <w:rFonts w:cstheme="minorHAnsi"/>
        </w:rPr>
      </w:pPr>
      <w:r w:rsidRPr="009E4CBC">
        <w:rPr>
          <w:rFonts w:cstheme="minorHAnsi"/>
        </w:rPr>
        <w:t xml:space="preserve">Además, dada la necesidad de presentar los estados en moneda homogénea -según lo requiere la Resolución Técnica N°6 </w:t>
      </w:r>
      <w:r w:rsidR="00EF737E" w:rsidRPr="009E4CBC">
        <w:rPr>
          <w:rFonts w:cstheme="minorHAnsi"/>
        </w:rPr>
        <w:t xml:space="preserve">(RT6) </w:t>
      </w:r>
      <w:r w:rsidRPr="009E4CBC">
        <w:rPr>
          <w:rFonts w:cstheme="minorHAnsi"/>
        </w:rPr>
        <w:t>del año 1984-, se complementa la conversión con la reexpresión de estados a moneda de cierre.</w:t>
      </w:r>
    </w:p>
    <w:p w14:paraId="0EC90A12" w14:textId="1C36DAEE" w:rsidR="004145D3" w:rsidRPr="009E4CBC" w:rsidRDefault="008123C1" w:rsidP="009E4CBC">
      <w:pPr>
        <w:spacing w:line="240" w:lineRule="auto"/>
        <w:ind w:firstLine="708"/>
        <w:jc w:val="both"/>
        <w:rPr>
          <w:rFonts w:cstheme="minorHAnsi"/>
        </w:rPr>
      </w:pPr>
      <w:r w:rsidRPr="009E4CBC">
        <w:rPr>
          <w:rFonts w:cstheme="minorHAnsi"/>
        </w:rPr>
        <w:t xml:space="preserve">Esta resolución, </w:t>
      </w:r>
      <w:r w:rsidR="004145D3" w:rsidRPr="009E4CBC">
        <w:rPr>
          <w:rFonts w:cstheme="minorHAnsi"/>
        </w:rPr>
        <w:t>para realizar el procedimiento de conversión (entendido como el reemplazo de una información monetaria por otra, expresada en una moneda distinta de la original) plantea dos métodos</w:t>
      </w:r>
      <w:r w:rsidR="005172A1">
        <w:rPr>
          <w:rFonts w:cstheme="minorHAnsi"/>
        </w:rPr>
        <w:t>: convertir-ajustar y ajustar-convertir-discriminar</w:t>
      </w:r>
      <w:r w:rsidR="004145D3" w:rsidRPr="009E4CBC">
        <w:rPr>
          <w:rFonts w:cstheme="minorHAnsi"/>
        </w:rPr>
        <w:t xml:space="preserve"> que pueden </w:t>
      </w:r>
      <w:r w:rsidR="00623AD2" w:rsidRPr="009E4CBC">
        <w:rPr>
          <w:rFonts w:cstheme="minorHAnsi"/>
        </w:rPr>
        <w:t>ser utilizados indistintamente.</w:t>
      </w:r>
    </w:p>
    <w:p w14:paraId="0B57B4BC" w14:textId="77777777" w:rsidR="002907AC" w:rsidRPr="009E4CBC" w:rsidRDefault="002907AC" w:rsidP="009E4CBC">
      <w:pPr>
        <w:spacing w:line="240" w:lineRule="auto"/>
        <w:ind w:firstLine="708"/>
        <w:jc w:val="both"/>
        <w:rPr>
          <w:rFonts w:cstheme="minorHAnsi"/>
        </w:rPr>
      </w:pPr>
    </w:p>
    <w:p w14:paraId="519400D2" w14:textId="4CAD8EB6" w:rsidR="004145D3" w:rsidRPr="009E4CBC" w:rsidRDefault="004145D3" w:rsidP="009E4CBC">
      <w:pPr>
        <w:pStyle w:val="Prrafodelista"/>
        <w:numPr>
          <w:ilvl w:val="3"/>
          <w:numId w:val="24"/>
        </w:numPr>
        <w:spacing w:line="240" w:lineRule="auto"/>
        <w:jc w:val="both"/>
        <w:rPr>
          <w:rFonts w:cstheme="minorHAnsi"/>
          <w:b/>
          <w:iCs/>
        </w:rPr>
      </w:pPr>
      <w:r w:rsidRPr="009E4CBC">
        <w:rPr>
          <w:rFonts w:cstheme="minorHAnsi"/>
          <w:b/>
          <w:iCs/>
        </w:rPr>
        <w:t>Método de convertir-ajustar</w:t>
      </w:r>
    </w:p>
    <w:p w14:paraId="69A939B0" w14:textId="786DDB02" w:rsidR="004145D3" w:rsidRPr="009E4CBC" w:rsidRDefault="004145D3" w:rsidP="00BC7F9A">
      <w:pPr>
        <w:spacing w:line="240" w:lineRule="auto"/>
        <w:jc w:val="both"/>
        <w:rPr>
          <w:rFonts w:cstheme="minorHAnsi"/>
        </w:rPr>
      </w:pPr>
      <w:r w:rsidRPr="009E4CBC">
        <w:rPr>
          <w:rFonts w:cstheme="minorHAnsi"/>
        </w:rPr>
        <w:lastRenderedPageBreak/>
        <w:tab/>
        <w:t>Se convierte la moneda extranjera a moneda argentina empleando el tipo de cambio corriente a la fecha de los estados contables</w:t>
      </w:r>
      <w:r w:rsidR="0051508F" w:rsidRPr="009E4CBC">
        <w:rPr>
          <w:rFonts w:cstheme="minorHAnsi"/>
        </w:rPr>
        <w:t xml:space="preserve"> a</w:t>
      </w:r>
      <w:r w:rsidRPr="009E4CBC">
        <w:rPr>
          <w:rFonts w:cstheme="minorHAnsi"/>
        </w:rPr>
        <w:t xml:space="preserve"> las mediciones que corresponden a</w:t>
      </w:r>
      <w:r w:rsidR="005172A1">
        <w:rPr>
          <w:rFonts w:cstheme="minorHAnsi"/>
        </w:rPr>
        <w:t xml:space="preserve"> </w:t>
      </w:r>
      <w:r w:rsidR="0051508F" w:rsidRPr="009E4CBC">
        <w:rPr>
          <w:rFonts w:cstheme="minorHAnsi"/>
        </w:rPr>
        <w:t>v</w:t>
      </w:r>
      <w:r w:rsidRPr="009E4CBC">
        <w:rPr>
          <w:rFonts w:cstheme="minorHAnsi"/>
        </w:rPr>
        <w:t>alores corrientes de dicha fechas</w:t>
      </w:r>
      <w:r w:rsidR="006401A1" w:rsidRPr="009E4CBC">
        <w:rPr>
          <w:rFonts w:cstheme="minorHAnsi"/>
        </w:rPr>
        <w:t xml:space="preserve"> y </w:t>
      </w:r>
      <w:r w:rsidR="0051508F" w:rsidRPr="009E4CBC">
        <w:rPr>
          <w:rFonts w:cstheme="minorHAnsi"/>
        </w:rPr>
        <w:t>c</w:t>
      </w:r>
      <w:r w:rsidRPr="009E4CBC">
        <w:rPr>
          <w:rFonts w:cstheme="minorHAnsi"/>
        </w:rPr>
        <w:t>ostos históricos reexpresados a la fecha de los estados contables.</w:t>
      </w:r>
      <w:r w:rsidR="005172A1">
        <w:rPr>
          <w:rFonts w:cstheme="minorHAnsi"/>
        </w:rPr>
        <w:t xml:space="preserve"> </w:t>
      </w:r>
      <w:r w:rsidRPr="009E4CBC">
        <w:rPr>
          <w:rFonts w:cstheme="minorHAnsi"/>
        </w:rPr>
        <w:t>Las mediciones expresadas en moneda extranjera de momentos anteriores al cierre se convierten utilizando tipos de cambio históricos</w:t>
      </w:r>
      <w:r w:rsidR="0051508F" w:rsidRPr="009E4CBC">
        <w:rPr>
          <w:rFonts w:cstheme="minorHAnsi"/>
        </w:rPr>
        <w:t xml:space="preserve">. </w:t>
      </w:r>
      <w:r w:rsidRPr="009E4CBC">
        <w:rPr>
          <w:rFonts w:cstheme="minorHAnsi"/>
        </w:rPr>
        <w:t>Cuando las mediciones surgen de comparaciones de mediciones expresadas en monedas de distinto poder adquisitivo se debe:</w:t>
      </w:r>
    </w:p>
    <w:p w14:paraId="5B6B0ED7" w14:textId="77777777" w:rsidR="00C05E27" w:rsidRDefault="004145D3" w:rsidP="00C05E27">
      <w:pPr>
        <w:pStyle w:val="Prrafodelista"/>
        <w:numPr>
          <w:ilvl w:val="0"/>
          <w:numId w:val="37"/>
        </w:numPr>
        <w:spacing w:after="0" w:line="240" w:lineRule="auto"/>
        <w:jc w:val="both"/>
        <w:rPr>
          <w:rFonts w:cstheme="minorHAnsi"/>
        </w:rPr>
      </w:pPr>
      <w:r w:rsidRPr="00C05E27">
        <w:rPr>
          <w:rFonts w:cstheme="minorHAnsi"/>
        </w:rPr>
        <w:t>Convertir separadamente las mediciones;</w:t>
      </w:r>
    </w:p>
    <w:p w14:paraId="314344EB" w14:textId="77777777" w:rsidR="00C05E27" w:rsidRDefault="004145D3" w:rsidP="00C05E27">
      <w:pPr>
        <w:pStyle w:val="Prrafodelista"/>
        <w:numPr>
          <w:ilvl w:val="0"/>
          <w:numId w:val="37"/>
        </w:numPr>
        <w:spacing w:after="0" w:line="240" w:lineRule="auto"/>
        <w:jc w:val="both"/>
        <w:rPr>
          <w:rFonts w:cstheme="minorHAnsi"/>
        </w:rPr>
      </w:pPr>
      <w:r w:rsidRPr="00C05E27">
        <w:rPr>
          <w:rFonts w:cstheme="minorHAnsi"/>
        </w:rPr>
        <w:t xml:space="preserve">Reexpresar en moneda de cierre argentina según </w:t>
      </w:r>
      <w:r w:rsidR="00EF737E" w:rsidRPr="00C05E27">
        <w:rPr>
          <w:rFonts w:cstheme="minorHAnsi"/>
        </w:rPr>
        <w:t>RT</w:t>
      </w:r>
      <w:r w:rsidRPr="00C05E27">
        <w:rPr>
          <w:rFonts w:cstheme="minorHAnsi"/>
        </w:rPr>
        <w:t>6</w:t>
      </w:r>
      <w:r w:rsidR="007B7A3B" w:rsidRPr="00C05E27">
        <w:rPr>
          <w:rFonts w:cstheme="minorHAnsi"/>
        </w:rPr>
        <w:t xml:space="preserve"> </w:t>
      </w:r>
      <w:r w:rsidRPr="00C05E27">
        <w:rPr>
          <w:rFonts w:cstheme="minorHAnsi"/>
        </w:rPr>
        <w:t>los importes resultantes del punto anterior;</w:t>
      </w:r>
    </w:p>
    <w:p w14:paraId="45750259" w14:textId="7CB7B1E0" w:rsidR="004145D3" w:rsidRDefault="004145D3" w:rsidP="00C05E27">
      <w:pPr>
        <w:pStyle w:val="Prrafodelista"/>
        <w:numPr>
          <w:ilvl w:val="0"/>
          <w:numId w:val="37"/>
        </w:numPr>
        <w:spacing w:after="0" w:line="240" w:lineRule="auto"/>
        <w:jc w:val="both"/>
        <w:rPr>
          <w:rFonts w:cstheme="minorHAnsi"/>
        </w:rPr>
      </w:pPr>
      <w:r w:rsidRPr="00C05E27">
        <w:rPr>
          <w:rFonts w:cstheme="minorHAnsi"/>
        </w:rPr>
        <w:t>Efectuar nuevamente la comparación con la</w:t>
      </w:r>
      <w:r w:rsidR="008123C1" w:rsidRPr="00C05E27">
        <w:rPr>
          <w:rFonts w:cstheme="minorHAnsi"/>
        </w:rPr>
        <w:t>s</w:t>
      </w:r>
      <w:r w:rsidRPr="00C05E27">
        <w:rPr>
          <w:rFonts w:cstheme="minorHAnsi"/>
        </w:rPr>
        <w:t xml:space="preserve"> mediciones convertidas.</w:t>
      </w:r>
    </w:p>
    <w:p w14:paraId="2E2FDBA8" w14:textId="77777777" w:rsidR="00C05E27" w:rsidRPr="00C05E27" w:rsidRDefault="00C05E27" w:rsidP="00C05E27">
      <w:pPr>
        <w:pStyle w:val="Prrafodelista"/>
        <w:spacing w:after="0" w:line="240" w:lineRule="auto"/>
        <w:jc w:val="both"/>
        <w:rPr>
          <w:rFonts w:cstheme="minorHAnsi"/>
        </w:rPr>
      </w:pPr>
    </w:p>
    <w:p w14:paraId="4114FFE3" w14:textId="74881EDD" w:rsidR="004145D3" w:rsidRPr="009E4CBC" w:rsidRDefault="004145D3" w:rsidP="009E4CBC">
      <w:pPr>
        <w:spacing w:line="240" w:lineRule="auto"/>
        <w:ind w:firstLine="720"/>
        <w:jc w:val="both"/>
        <w:rPr>
          <w:rFonts w:cstheme="minorHAnsi"/>
        </w:rPr>
      </w:pPr>
      <w:r w:rsidRPr="009E4CBC">
        <w:rPr>
          <w:rFonts w:cstheme="minorHAnsi"/>
        </w:rPr>
        <w:t xml:space="preserve">Los importes ya convertidos en moneda argentina se reexpresan en moneda de cierre conforme lo dispuesto en la </w:t>
      </w:r>
      <w:r w:rsidR="007B7A3B" w:rsidRPr="009E4CBC">
        <w:rPr>
          <w:rFonts w:cstheme="minorHAnsi"/>
        </w:rPr>
        <w:t>RT</w:t>
      </w:r>
      <w:r w:rsidRPr="009E4CBC">
        <w:rPr>
          <w:rFonts w:cstheme="minorHAnsi"/>
        </w:rPr>
        <w:t>6</w:t>
      </w:r>
      <w:r w:rsidR="005172A1">
        <w:rPr>
          <w:rFonts w:cstheme="minorHAnsi"/>
        </w:rPr>
        <w:t xml:space="preserve"> y </w:t>
      </w:r>
      <w:r w:rsidRPr="009E4CBC">
        <w:rPr>
          <w:rFonts w:cstheme="minorHAnsi"/>
        </w:rPr>
        <w:t>Las diferencias de cambio resultantes por la aplicación del método de conversión de los estados contables se exponen en el estado de resultados como costos financieros (</w:t>
      </w:r>
      <w:r w:rsidR="007B7A3B" w:rsidRPr="009E4CBC">
        <w:rPr>
          <w:rFonts w:cstheme="minorHAnsi"/>
        </w:rPr>
        <w:t xml:space="preserve">por </w:t>
      </w:r>
      <w:r w:rsidRPr="009E4CBC">
        <w:rPr>
          <w:rFonts w:cstheme="minorHAnsi"/>
        </w:rPr>
        <w:t>mantención de pasivos) o resultados financieros (</w:t>
      </w:r>
      <w:r w:rsidR="007B7A3B" w:rsidRPr="009E4CBC">
        <w:rPr>
          <w:rFonts w:cstheme="minorHAnsi"/>
        </w:rPr>
        <w:t>originadas por</w:t>
      </w:r>
      <w:r w:rsidRPr="009E4CBC">
        <w:rPr>
          <w:rFonts w:cstheme="minorHAnsi"/>
        </w:rPr>
        <w:t xml:space="preserve"> un activo).</w:t>
      </w:r>
    </w:p>
    <w:p w14:paraId="5DA98978" w14:textId="3714D76A" w:rsidR="004145D3" w:rsidRPr="009E4CBC" w:rsidRDefault="004145D3" w:rsidP="009E4CBC">
      <w:pPr>
        <w:spacing w:line="240" w:lineRule="auto"/>
        <w:ind w:firstLine="720"/>
        <w:jc w:val="both"/>
        <w:rPr>
          <w:rFonts w:cstheme="minorHAnsi"/>
        </w:rPr>
      </w:pPr>
      <w:r w:rsidRPr="009E4CBC">
        <w:rPr>
          <w:rFonts w:cstheme="minorHAnsi"/>
        </w:rPr>
        <w:t>Según el Anexo B de la normativa, para el método convertir-ajustar, se presenta la problemática de que el costo de un bien erogado en moneda extranjera convertido a moneda argentina y reexpresado por el índice de inflación de nuestro país en contadas ocasiones representa su valor. Es decir, la evolución de los precios específicos de esos bienes seguramente</w:t>
      </w:r>
      <w:r w:rsidRPr="009E4CBC">
        <w:rPr>
          <w:rFonts w:cstheme="minorHAnsi"/>
          <w:color w:val="8E7CC3"/>
        </w:rPr>
        <w:t xml:space="preserve"> </w:t>
      </w:r>
      <w:r w:rsidRPr="009E4CBC">
        <w:rPr>
          <w:rFonts w:cstheme="minorHAnsi"/>
        </w:rPr>
        <w:t>sigue con mayor aproximación a la evolución general de precios en su país de origen que a la que se produjo en el país de la inversora (Torres,</w:t>
      </w:r>
      <w:r w:rsidRPr="009E4CBC">
        <w:rPr>
          <w:rFonts w:cstheme="minorHAnsi"/>
          <w:color w:val="8E7CC3"/>
        </w:rPr>
        <w:t xml:space="preserve"> </w:t>
      </w:r>
      <w:r w:rsidR="007B7A3B" w:rsidRPr="009E4CBC">
        <w:rPr>
          <w:rFonts w:cstheme="minorHAnsi"/>
        </w:rPr>
        <w:t>2010</w:t>
      </w:r>
      <w:r w:rsidRPr="009E4CBC">
        <w:rPr>
          <w:rFonts w:cstheme="minorHAnsi"/>
        </w:rPr>
        <w:t>)</w:t>
      </w:r>
      <w:r w:rsidR="007B7A3B" w:rsidRPr="009E4CBC">
        <w:rPr>
          <w:rFonts w:cstheme="minorHAnsi"/>
        </w:rPr>
        <w:t>.</w:t>
      </w:r>
    </w:p>
    <w:p w14:paraId="4C0BB0E9" w14:textId="2514F13C" w:rsidR="004145D3" w:rsidRPr="009E4CBC" w:rsidRDefault="004145D3" w:rsidP="009E4CBC">
      <w:pPr>
        <w:spacing w:line="240" w:lineRule="auto"/>
        <w:ind w:firstLine="720"/>
        <w:jc w:val="both"/>
        <w:rPr>
          <w:rFonts w:cstheme="minorHAnsi"/>
        </w:rPr>
      </w:pPr>
      <w:r w:rsidRPr="009E4CBC">
        <w:rPr>
          <w:rFonts w:cstheme="minorHAnsi"/>
        </w:rPr>
        <w:t>La solución más indicada sería la obligatoriedad de utilizar valores corriente</w:t>
      </w:r>
      <w:r w:rsidR="007D62A6" w:rsidRPr="009E4CBC">
        <w:rPr>
          <w:rFonts w:cstheme="minorHAnsi"/>
        </w:rPr>
        <w:t>s</w:t>
      </w:r>
      <w:r w:rsidRPr="009E4CBC">
        <w:rPr>
          <w:rFonts w:cstheme="minorHAnsi"/>
        </w:rPr>
        <w:t xml:space="preserve"> para todos los activos. Debido al gran debate previo que esto demandaría se presenta una segunda alternativa a esta limitación, la cual consiste en utilizar supletoriamente el método ajustar-convertir. Así, bienes situados en el exterior que no están a valor corriente se reexpresan primero a la moneda extranjera a la fecha de los estados contables y posteriormente se convierten a moneda argentina utilizando el tipo de cambio de cierre. El procedimiento convertir-ajustar</w:t>
      </w:r>
      <w:r w:rsidR="005C5C9A" w:rsidRPr="009E4CBC">
        <w:rPr>
          <w:rFonts w:cstheme="minorHAnsi"/>
        </w:rPr>
        <w:t xml:space="preserve"> de la RT13</w:t>
      </w:r>
      <w:r w:rsidRPr="009E4CBC">
        <w:rPr>
          <w:rFonts w:cstheme="minorHAnsi"/>
        </w:rPr>
        <w:t xml:space="preserve"> es alterado</w:t>
      </w:r>
      <w:r w:rsidR="005C5C9A" w:rsidRPr="009E4CBC">
        <w:rPr>
          <w:rFonts w:cstheme="minorHAnsi"/>
        </w:rPr>
        <w:t xml:space="preserve">, </w:t>
      </w:r>
      <w:r w:rsidRPr="009E4CBC">
        <w:rPr>
          <w:rFonts w:cstheme="minorHAnsi"/>
        </w:rPr>
        <w:t>tomando ajustar-convertir, a fin de evitar distorsionar la valuación del patrimonio y la determinación del resultado del periodo (Torres, 2005).</w:t>
      </w:r>
    </w:p>
    <w:p w14:paraId="0075D6BB" w14:textId="77777777" w:rsidR="002907AC" w:rsidRPr="009E4CBC" w:rsidRDefault="002907AC" w:rsidP="009E4CBC">
      <w:pPr>
        <w:spacing w:line="240" w:lineRule="auto"/>
        <w:ind w:firstLine="720"/>
        <w:jc w:val="both"/>
        <w:rPr>
          <w:rFonts w:cstheme="minorHAnsi"/>
        </w:rPr>
      </w:pPr>
    </w:p>
    <w:p w14:paraId="778EBF32" w14:textId="1D06F902" w:rsidR="004145D3" w:rsidRPr="009E4CBC" w:rsidRDefault="004145D3" w:rsidP="009E4CBC">
      <w:pPr>
        <w:pStyle w:val="Prrafodelista"/>
        <w:numPr>
          <w:ilvl w:val="3"/>
          <w:numId w:val="24"/>
        </w:numPr>
        <w:spacing w:line="240" w:lineRule="auto"/>
        <w:jc w:val="both"/>
        <w:rPr>
          <w:rFonts w:cstheme="minorHAnsi"/>
          <w:b/>
          <w:iCs/>
        </w:rPr>
      </w:pPr>
      <w:r w:rsidRPr="009E4CBC">
        <w:rPr>
          <w:rFonts w:cstheme="minorHAnsi"/>
          <w:b/>
          <w:iCs/>
        </w:rPr>
        <w:t>Método de ajustar-convertir-discriminar</w:t>
      </w:r>
    </w:p>
    <w:p w14:paraId="3A49D83A" w14:textId="3CE29298" w:rsidR="004145D3" w:rsidRPr="009E4CBC" w:rsidRDefault="004145D3" w:rsidP="009E4CBC">
      <w:pPr>
        <w:spacing w:line="240" w:lineRule="auto"/>
        <w:ind w:firstLine="720"/>
        <w:jc w:val="both"/>
        <w:rPr>
          <w:rFonts w:cstheme="minorHAnsi"/>
        </w:rPr>
      </w:pPr>
      <w:r w:rsidRPr="009E4CBC">
        <w:rPr>
          <w:rFonts w:cstheme="minorHAnsi"/>
        </w:rPr>
        <w:t>Se reexpresan las mediciones en moneda extranjera de momentos anteriores al cierre a moneda de cierre del ejercicio (moneda homogénea), según e</w:t>
      </w:r>
      <w:r w:rsidR="00CB5384" w:rsidRPr="009E4CBC">
        <w:rPr>
          <w:rFonts w:cstheme="minorHAnsi"/>
        </w:rPr>
        <w:t xml:space="preserve">l índice de precios que mida la </w:t>
      </w:r>
      <w:r w:rsidRPr="009E4CBC">
        <w:rPr>
          <w:rFonts w:cstheme="minorHAnsi"/>
        </w:rPr>
        <w:t xml:space="preserve">inflación en el país extranjero. Posteriormente, las resultantes, se convierten a moneda argentina con el correspondiente tipo de cambio de cierre del ejercicio. Para discriminar el resultado, se reexpresa el patrimonio neto antes de la adición del resultado del ejercicio por la inflación argentina. </w:t>
      </w:r>
    </w:p>
    <w:p w14:paraId="3DF8F4AC" w14:textId="21B1887A" w:rsidR="004145D3" w:rsidRPr="009E4CBC" w:rsidRDefault="004145D3" w:rsidP="009E4CBC">
      <w:pPr>
        <w:spacing w:after="0" w:line="240" w:lineRule="auto"/>
        <w:ind w:firstLine="720"/>
        <w:jc w:val="both"/>
        <w:rPr>
          <w:rFonts w:cstheme="minorHAnsi"/>
        </w:rPr>
      </w:pPr>
      <w:r w:rsidRPr="009E4CBC">
        <w:rPr>
          <w:rFonts w:cstheme="minorHAnsi"/>
        </w:rPr>
        <w:t>Como plantea T</w:t>
      </w:r>
      <w:r w:rsidR="00CB5384" w:rsidRPr="009E4CBC">
        <w:rPr>
          <w:rFonts w:cstheme="minorHAnsi"/>
        </w:rPr>
        <w:t>orres (2005) el reexpresar los conceptos sobre la base de la inflación (o deflación) extranjera y no la del país de la inversora, el procedimiento ajustar-convertir</w:t>
      </w:r>
      <w:r w:rsidRPr="009E4CBC">
        <w:rPr>
          <w:rFonts w:cstheme="minorHAnsi"/>
        </w:rPr>
        <w:t xml:space="preserve"> distorsiona el cálculo del patrimonio previo al resultado. Por lo tanto, la </w:t>
      </w:r>
      <w:r w:rsidR="005C5C9A" w:rsidRPr="009E4CBC">
        <w:rPr>
          <w:rFonts w:cstheme="minorHAnsi"/>
        </w:rPr>
        <w:t>RT</w:t>
      </w:r>
      <w:r w:rsidR="00CB5384" w:rsidRPr="009E4CBC">
        <w:rPr>
          <w:rFonts w:cstheme="minorHAnsi"/>
        </w:rPr>
        <w:t xml:space="preserve">13 adopta el método </w:t>
      </w:r>
      <w:r w:rsidRPr="009E4CBC">
        <w:rPr>
          <w:rFonts w:cstheme="minorHAnsi"/>
        </w:rPr>
        <w:t>ajustar-convertir-discriminar para atenuar dicha problemá</w:t>
      </w:r>
      <w:r w:rsidR="00CB5384" w:rsidRPr="009E4CBC">
        <w:rPr>
          <w:rFonts w:cstheme="minorHAnsi"/>
        </w:rPr>
        <w:t xml:space="preserve">tica. Según Fowler Newton (2010), “esta variante del método </w:t>
      </w:r>
      <w:r w:rsidRPr="009E4CBC">
        <w:rPr>
          <w:rFonts w:cstheme="minorHAnsi"/>
        </w:rPr>
        <w:t>consiste en modificar las reglas para la conversión de los componentes del patrimonio (distintos al resultado del período)</w:t>
      </w:r>
      <w:r w:rsidR="00CB5384" w:rsidRPr="009E4CBC">
        <w:rPr>
          <w:rFonts w:cstheme="minorHAnsi"/>
        </w:rPr>
        <w:t>”</w:t>
      </w:r>
      <w:r w:rsidRPr="009E4CBC">
        <w:rPr>
          <w:rFonts w:cstheme="minorHAnsi"/>
        </w:rPr>
        <w:t>. Para esto Torres menciona que:</w:t>
      </w:r>
    </w:p>
    <w:p w14:paraId="12CF4EE4" w14:textId="31BD87E8" w:rsidR="004145D3" w:rsidRPr="009E4CBC" w:rsidRDefault="004145D3" w:rsidP="009E4CBC">
      <w:pPr>
        <w:spacing w:line="240" w:lineRule="auto"/>
        <w:ind w:left="709" w:firstLine="11"/>
        <w:jc w:val="both"/>
        <w:rPr>
          <w:rFonts w:cstheme="minorHAnsi"/>
          <w:sz w:val="20"/>
          <w:szCs w:val="20"/>
        </w:rPr>
      </w:pPr>
      <w:r w:rsidRPr="009E4CBC">
        <w:rPr>
          <w:rFonts w:cstheme="minorHAnsi"/>
          <w:sz w:val="20"/>
          <w:szCs w:val="20"/>
        </w:rPr>
        <w:t xml:space="preserve">“Los componentes del patrimonio neto antes del resultado deberán convertirse al tipo de cambio vigente a la fecha en que se encuentra expresado en la moneda de origen y luego será </w:t>
      </w:r>
      <w:r w:rsidRPr="009E4CBC">
        <w:rPr>
          <w:rFonts w:cstheme="minorHAnsi"/>
          <w:sz w:val="20"/>
          <w:szCs w:val="20"/>
        </w:rPr>
        <w:lastRenderedPageBreak/>
        <w:t xml:space="preserve">reexpresado conforme a los índices de precios que corresponden a la moneda nacional” (Torres, </w:t>
      </w:r>
      <w:r w:rsidR="005C5C9A" w:rsidRPr="009E4CBC">
        <w:rPr>
          <w:rFonts w:cstheme="minorHAnsi"/>
          <w:sz w:val="20"/>
          <w:szCs w:val="20"/>
        </w:rPr>
        <w:t>2010</w:t>
      </w:r>
      <w:r w:rsidRPr="009E4CBC">
        <w:rPr>
          <w:rFonts w:cstheme="minorHAnsi"/>
          <w:sz w:val="20"/>
          <w:szCs w:val="20"/>
        </w:rPr>
        <w:t>, p. 298).</w:t>
      </w:r>
    </w:p>
    <w:p w14:paraId="36124397" w14:textId="6FCFB738" w:rsidR="004145D3" w:rsidRPr="009E4CBC" w:rsidRDefault="005F5334" w:rsidP="009E4CBC">
      <w:pPr>
        <w:spacing w:after="0" w:line="240" w:lineRule="auto"/>
        <w:ind w:firstLine="720"/>
        <w:jc w:val="both"/>
        <w:rPr>
          <w:rFonts w:cstheme="minorHAnsi"/>
          <w:b/>
          <w:i/>
        </w:rPr>
      </w:pPr>
      <w:r w:rsidRPr="009E4CBC">
        <w:rPr>
          <w:rFonts w:cstheme="minorHAnsi"/>
        </w:rPr>
        <w:t>Una problemática</w:t>
      </w:r>
      <w:r w:rsidR="004145D3" w:rsidRPr="009E4CBC">
        <w:rPr>
          <w:rFonts w:cstheme="minorHAnsi"/>
        </w:rPr>
        <w:t xml:space="preserve"> que plantea </w:t>
      </w:r>
      <w:r w:rsidR="00863127" w:rsidRPr="009E4CBC">
        <w:rPr>
          <w:rFonts w:cstheme="minorHAnsi"/>
        </w:rPr>
        <w:t xml:space="preserve">Fowler </w:t>
      </w:r>
      <w:r w:rsidR="004145D3" w:rsidRPr="009E4CBC">
        <w:rPr>
          <w:rFonts w:cstheme="minorHAnsi"/>
        </w:rPr>
        <w:t xml:space="preserve">Newton </w:t>
      </w:r>
      <w:r w:rsidR="00CB5384" w:rsidRPr="009E4CBC">
        <w:rPr>
          <w:rFonts w:cstheme="minorHAnsi"/>
        </w:rPr>
        <w:t xml:space="preserve">(2010) </w:t>
      </w:r>
      <w:r w:rsidR="004145D3" w:rsidRPr="009E4CBC">
        <w:rPr>
          <w:rFonts w:cstheme="minorHAnsi"/>
        </w:rPr>
        <w:t>al método ajustar-convertir-discriminar es la incorporación de una nueva partida dentro del estado de resultados que es de difícil interpretación y análisis por parte de los usuarios de los estados financieros.</w:t>
      </w:r>
    </w:p>
    <w:p w14:paraId="75B7CB9F" w14:textId="77777777" w:rsidR="004145D3" w:rsidRPr="009E4CBC" w:rsidRDefault="004145D3" w:rsidP="009E4CBC">
      <w:pPr>
        <w:spacing w:after="0" w:line="240" w:lineRule="auto"/>
        <w:jc w:val="both"/>
        <w:rPr>
          <w:rFonts w:cstheme="minorHAnsi"/>
        </w:rPr>
      </w:pPr>
      <w:r w:rsidRPr="009E4CBC">
        <w:rPr>
          <w:rFonts w:cstheme="minorHAnsi"/>
        </w:rPr>
        <w:tab/>
      </w:r>
    </w:p>
    <w:p w14:paraId="270B95D0" w14:textId="7A24D085" w:rsidR="004145D3" w:rsidRPr="009E4CBC" w:rsidRDefault="004145D3" w:rsidP="009E4CBC">
      <w:pPr>
        <w:spacing w:line="240" w:lineRule="auto"/>
        <w:ind w:firstLine="720"/>
        <w:jc w:val="both"/>
        <w:rPr>
          <w:rFonts w:cstheme="minorHAnsi"/>
        </w:rPr>
      </w:pPr>
      <w:r w:rsidRPr="009E4CBC">
        <w:rPr>
          <w:rFonts w:cstheme="minorHAnsi"/>
        </w:rPr>
        <w:t>Por último, Torres (</w:t>
      </w:r>
      <w:r w:rsidR="005C5C9A" w:rsidRPr="009E4CBC">
        <w:rPr>
          <w:rFonts w:cstheme="minorHAnsi"/>
        </w:rPr>
        <w:t>2010</w:t>
      </w:r>
      <w:r w:rsidRPr="009E4CBC">
        <w:rPr>
          <w:rFonts w:cstheme="minorHAnsi"/>
        </w:rPr>
        <w:t xml:space="preserve">) menciona las conclusiones de los procedimientos alternativos de la </w:t>
      </w:r>
      <w:r w:rsidR="005C5C9A" w:rsidRPr="009E4CBC">
        <w:rPr>
          <w:rFonts w:cstheme="minorHAnsi"/>
        </w:rPr>
        <w:t>RT</w:t>
      </w:r>
      <w:r w:rsidRPr="009E4CBC">
        <w:rPr>
          <w:rFonts w:cstheme="minorHAnsi"/>
        </w:rPr>
        <w:t>13:</w:t>
      </w:r>
    </w:p>
    <w:p w14:paraId="027F1A91" w14:textId="5670CC12" w:rsidR="004145D3" w:rsidRPr="009E4CBC" w:rsidRDefault="009E4CBC" w:rsidP="009E4CBC">
      <w:pPr>
        <w:numPr>
          <w:ilvl w:val="0"/>
          <w:numId w:val="30"/>
        </w:numPr>
        <w:spacing w:after="0" w:line="240" w:lineRule="auto"/>
        <w:jc w:val="both"/>
        <w:rPr>
          <w:rFonts w:cstheme="minorHAnsi"/>
          <w:sz w:val="20"/>
          <w:szCs w:val="20"/>
        </w:rPr>
      </w:pPr>
      <w:r>
        <w:rPr>
          <w:rFonts w:cstheme="minorHAnsi"/>
          <w:sz w:val="20"/>
          <w:szCs w:val="20"/>
        </w:rPr>
        <w:t>“</w:t>
      </w:r>
      <w:r w:rsidR="004145D3" w:rsidRPr="009E4CBC">
        <w:rPr>
          <w:rFonts w:cstheme="minorHAnsi"/>
          <w:sz w:val="20"/>
          <w:szCs w:val="20"/>
        </w:rPr>
        <w:t>Los activos y pasivos quedan valuados por los mismos importes en ambos procedimientos.</w:t>
      </w:r>
    </w:p>
    <w:p w14:paraId="612AE386" w14:textId="77777777" w:rsidR="004145D3" w:rsidRPr="009E4CBC" w:rsidRDefault="004145D3" w:rsidP="009E4CBC">
      <w:pPr>
        <w:numPr>
          <w:ilvl w:val="0"/>
          <w:numId w:val="30"/>
        </w:numPr>
        <w:spacing w:after="0" w:line="240" w:lineRule="auto"/>
        <w:jc w:val="both"/>
        <w:rPr>
          <w:rFonts w:cstheme="minorHAnsi"/>
          <w:sz w:val="20"/>
          <w:szCs w:val="20"/>
        </w:rPr>
      </w:pPr>
      <w:r w:rsidRPr="009E4CBC">
        <w:rPr>
          <w:rFonts w:cstheme="minorHAnsi"/>
          <w:sz w:val="20"/>
          <w:szCs w:val="20"/>
        </w:rPr>
        <w:t>El patrimonio neto queda compuesto en forma idéntica luego de aplicar cualquiera de los dos métodos aceptados por la resolución técnica número 13. Estas igualdades son producto de las correcciones o adaptaciones incluidas en cada uno de ellos.</w:t>
      </w:r>
    </w:p>
    <w:p w14:paraId="45676406" w14:textId="77777777" w:rsidR="004145D3" w:rsidRPr="009E4CBC" w:rsidRDefault="004145D3" w:rsidP="009E4CBC">
      <w:pPr>
        <w:numPr>
          <w:ilvl w:val="0"/>
          <w:numId w:val="30"/>
        </w:numPr>
        <w:spacing w:after="0" w:line="240" w:lineRule="auto"/>
        <w:jc w:val="both"/>
        <w:rPr>
          <w:rFonts w:cstheme="minorHAnsi"/>
          <w:sz w:val="20"/>
          <w:szCs w:val="20"/>
        </w:rPr>
      </w:pPr>
      <w:r w:rsidRPr="009E4CBC">
        <w:rPr>
          <w:rFonts w:cstheme="minorHAnsi"/>
          <w:sz w:val="20"/>
          <w:szCs w:val="20"/>
        </w:rPr>
        <w:t>Cambia, por el contrario, la descripción de las causas del resultado:</w:t>
      </w:r>
    </w:p>
    <w:p w14:paraId="2A750A94" w14:textId="77777777" w:rsidR="004145D3" w:rsidRPr="009E4CBC" w:rsidRDefault="004145D3" w:rsidP="009E4CBC">
      <w:pPr>
        <w:numPr>
          <w:ilvl w:val="1"/>
          <w:numId w:val="30"/>
        </w:numPr>
        <w:spacing w:after="0" w:line="240" w:lineRule="auto"/>
        <w:jc w:val="both"/>
        <w:rPr>
          <w:rFonts w:cstheme="minorHAnsi"/>
          <w:sz w:val="20"/>
          <w:szCs w:val="20"/>
        </w:rPr>
      </w:pPr>
      <w:r w:rsidRPr="009E4CBC">
        <w:rPr>
          <w:rFonts w:cstheme="minorHAnsi"/>
          <w:sz w:val="20"/>
          <w:szCs w:val="20"/>
        </w:rPr>
        <w:t>Convertir-ajustar muestra los resultados como si las operaciones se hubiesen producido en el país de la sociedad inversora.</w:t>
      </w:r>
    </w:p>
    <w:p w14:paraId="6FC17316" w14:textId="77777777" w:rsidR="007D62A6" w:rsidRPr="009E4CBC" w:rsidRDefault="004145D3" w:rsidP="009E4CBC">
      <w:pPr>
        <w:numPr>
          <w:ilvl w:val="1"/>
          <w:numId w:val="30"/>
        </w:numPr>
        <w:spacing w:after="0" w:line="240" w:lineRule="auto"/>
        <w:jc w:val="both"/>
        <w:rPr>
          <w:rFonts w:cstheme="minorHAnsi"/>
          <w:sz w:val="20"/>
          <w:szCs w:val="20"/>
        </w:rPr>
      </w:pPr>
      <w:r w:rsidRPr="009E4CBC">
        <w:rPr>
          <w:rFonts w:cstheme="minorHAnsi"/>
          <w:sz w:val="20"/>
          <w:szCs w:val="20"/>
        </w:rPr>
        <w:t xml:space="preserve">Ajustar-convertir, en cambio, los muestra en el contexto en que se produjeron </w:t>
      </w:r>
    </w:p>
    <w:p w14:paraId="6723A5C8" w14:textId="65D20A47" w:rsidR="004145D3" w:rsidRPr="009E4CBC" w:rsidRDefault="007D62A6" w:rsidP="009E4CBC">
      <w:pPr>
        <w:numPr>
          <w:ilvl w:val="0"/>
          <w:numId w:val="30"/>
        </w:numPr>
        <w:spacing w:after="160" w:line="240" w:lineRule="auto"/>
        <w:jc w:val="both"/>
        <w:rPr>
          <w:rFonts w:cstheme="minorHAnsi"/>
          <w:sz w:val="20"/>
          <w:szCs w:val="20"/>
        </w:rPr>
      </w:pPr>
      <w:r w:rsidRPr="009E4CBC">
        <w:rPr>
          <w:rFonts w:cstheme="minorHAnsi"/>
          <w:sz w:val="20"/>
          <w:szCs w:val="20"/>
        </w:rPr>
        <w:t>Si se hubiesen aplicado los respectivos métodos en sus versiones puras, el activo, el patrimonio y, consiguientemente, el resultado final, hubiesen sido distintos</w:t>
      </w:r>
      <w:r w:rsidR="009E4CBC">
        <w:rPr>
          <w:rFonts w:cstheme="minorHAnsi"/>
          <w:sz w:val="20"/>
          <w:szCs w:val="20"/>
        </w:rPr>
        <w:t>”</w:t>
      </w:r>
      <w:r w:rsidRPr="009E4CBC">
        <w:rPr>
          <w:rFonts w:cstheme="minorHAnsi"/>
          <w:sz w:val="20"/>
          <w:szCs w:val="20"/>
        </w:rPr>
        <w:t xml:space="preserve"> </w:t>
      </w:r>
      <w:r w:rsidR="004145D3" w:rsidRPr="009E4CBC">
        <w:rPr>
          <w:rFonts w:cstheme="minorHAnsi"/>
          <w:sz w:val="20"/>
          <w:szCs w:val="20"/>
        </w:rPr>
        <w:t xml:space="preserve">(Torres, </w:t>
      </w:r>
      <w:r w:rsidRPr="009E4CBC">
        <w:rPr>
          <w:rFonts w:cstheme="minorHAnsi"/>
          <w:sz w:val="20"/>
          <w:szCs w:val="20"/>
        </w:rPr>
        <w:t>2010</w:t>
      </w:r>
      <w:r w:rsidR="004145D3" w:rsidRPr="009E4CBC">
        <w:rPr>
          <w:rFonts w:cstheme="minorHAnsi"/>
          <w:sz w:val="20"/>
          <w:szCs w:val="20"/>
        </w:rPr>
        <w:t>, p. 310-11)</w:t>
      </w:r>
      <w:r w:rsidR="00433A62" w:rsidRPr="009E4CBC">
        <w:rPr>
          <w:rFonts w:cstheme="minorHAnsi"/>
          <w:sz w:val="20"/>
          <w:szCs w:val="20"/>
        </w:rPr>
        <w:t>.</w:t>
      </w:r>
    </w:p>
    <w:p w14:paraId="58E8FE56" w14:textId="77777777" w:rsidR="007D62A6" w:rsidRPr="009E4CBC" w:rsidRDefault="004145D3" w:rsidP="009E4CBC">
      <w:pPr>
        <w:spacing w:line="240" w:lineRule="auto"/>
        <w:jc w:val="both"/>
        <w:rPr>
          <w:rFonts w:cstheme="minorHAnsi"/>
        </w:rPr>
      </w:pPr>
      <w:r w:rsidRPr="009E4CBC">
        <w:rPr>
          <w:rFonts w:cstheme="minorHAnsi"/>
        </w:rPr>
        <w:tab/>
      </w:r>
    </w:p>
    <w:p w14:paraId="3EAA0E26" w14:textId="1121FBBE" w:rsidR="004145D3" w:rsidRPr="009E4CBC" w:rsidRDefault="007D62A6" w:rsidP="009E4CBC">
      <w:pPr>
        <w:pStyle w:val="Ttulo2"/>
        <w:numPr>
          <w:ilvl w:val="2"/>
          <w:numId w:val="24"/>
        </w:numPr>
        <w:spacing w:line="240" w:lineRule="auto"/>
        <w:rPr>
          <w:rFonts w:cstheme="minorHAnsi"/>
        </w:rPr>
      </w:pPr>
      <w:r w:rsidRPr="009E4CBC">
        <w:rPr>
          <w:rFonts w:cstheme="minorHAnsi"/>
        </w:rPr>
        <w:t>El camino a la armonización internacional: La RT18 del año 2000</w:t>
      </w:r>
    </w:p>
    <w:p w14:paraId="1CEDA94A" w14:textId="2F774278" w:rsidR="004145D3" w:rsidRPr="009E4CBC" w:rsidRDefault="004145D3" w:rsidP="009E4CBC">
      <w:pPr>
        <w:spacing w:line="240" w:lineRule="auto"/>
        <w:ind w:firstLine="720"/>
        <w:jc w:val="both"/>
        <w:rPr>
          <w:rFonts w:cstheme="minorHAnsi"/>
        </w:rPr>
      </w:pPr>
      <w:r w:rsidRPr="009E4CBC">
        <w:rPr>
          <w:rFonts w:cstheme="minorHAnsi"/>
        </w:rPr>
        <w:t xml:space="preserve">La </w:t>
      </w:r>
      <w:r w:rsidR="007D62A6" w:rsidRPr="009E4CBC">
        <w:rPr>
          <w:rFonts w:cstheme="minorHAnsi"/>
        </w:rPr>
        <w:t>RT13</w:t>
      </w:r>
      <w:r w:rsidRPr="009E4CBC">
        <w:rPr>
          <w:rFonts w:cstheme="minorHAnsi"/>
        </w:rPr>
        <w:t xml:space="preserve"> es derogada en el año 2000 con la sanción de la Resolución Técnica N°17 </w:t>
      </w:r>
      <w:r w:rsidRPr="009E4CBC">
        <w:rPr>
          <w:rFonts w:cstheme="minorHAnsi"/>
          <w:i/>
        </w:rPr>
        <w:t>Normas Contables Profesionales: desarrollo de cuestiones de aplicación general</w:t>
      </w:r>
      <w:r w:rsidR="008735B7">
        <w:rPr>
          <w:rFonts w:cstheme="minorHAnsi"/>
          <w:i/>
        </w:rPr>
        <w:t xml:space="preserve">, </w:t>
      </w:r>
      <w:r w:rsidR="008735B7" w:rsidRPr="00B10C99">
        <w:rPr>
          <w:rFonts w:cstheme="minorHAnsi"/>
        </w:rPr>
        <w:t>RT17,</w:t>
      </w:r>
      <w:r w:rsidR="007D62A6" w:rsidRPr="009E4CBC">
        <w:rPr>
          <w:rFonts w:cstheme="minorHAnsi"/>
        </w:rPr>
        <w:t xml:space="preserve"> (</w:t>
      </w:r>
      <w:r w:rsidR="008735B7">
        <w:rPr>
          <w:rFonts w:cstheme="minorHAnsi"/>
        </w:rPr>
        <w:t>FACPCE, 2000a</w:t>
      </w:r>
      <w:r w:rsidR="007D62A6" w:rsidRPr="009E4CBC">
        <w:rPr>
          <w:rFonts w:cstheme="minorHAnsi"/>
        </w:rPr>
        <w:t>)</w:t>
      </w:r>
      <w:r w:rsidRPr="009E4CBC">
        <w:rPr>
          <w:rFonts w:cstheme="minorHAnsi"/>
        </w:rPr>
        <w:t xml:space="preserve"> la cual remite, en relación a la conversión de estados contables, a la </w:t>
      </w:r>
      <w:r w:rsidR="007D62A6" w:rsidRPr="009E4CBC">
        <w:rPr>
          <w:rFonts w:cstheme="minorHAnsi"/>
        </w:rPr>
        <w:t>RT18</w:t>
      </w:r>
      <w:r w:rsidRPr="009E4CBC">
        <w:rPr>
          <w:rFonts w:cstheme="minorHAnsi"/>
        </w:rPr>
        <w:t xml:space="preserve"> (segunda parte, punto 1) del mismo año. Esta resolución sigue la línea del proceso de armonización con la</w:t>
      </w:r>
      <w:r w:rsidR="00D20E5B" w:rsidRPr="009E4CBC">
        <w:rPr>
          <w:rFonts w:cstheme="minorHAnsi"/>
        </w:rPr>
        <w:t>s</w:t>
      </w:r>
      <w:r w:rsidRPr="009E4CBC">
        <w:rPr>
          <w:rFonts w:cstheme="minorHAnsi"/>
        </w:rPr>
        <w:t xml:space="preserve"> normas internacionales iniciado a partir del año 1998 (Torres, 2005). La FACPCE toma como punto de partida el método de la NIC 21 del año 1993 pero con una variante, la cual se indica en </w:t>
      </w:r>
      <w:r w:rsidR="00D20E5B" w:rsidRPr="009E4CBC">
        <w:rPr>
          <w:rFonts w:cstheme="minorHAnsi"/>
        </w:rPr>
        <w:t>el</w:t>
      </w:r>
      <w:r w:rsidRPr="009E4CBC">
        <w:rPr>
          <w:rFonts w:cstheme="minorHAnsi"/>
        </w:rPr>
        <w:t xml:space="preserve"> apartado “Conversión de estados contables de entidades no integradas”. </w:t>
      </w:r>
      <w:r w:rsidR="007D62A6" w:rsidRPr="009E4CBC">
        <w:rPr>
          <w:rFonts w:cstheme="minorHAnsi"/>
        </w:rPr>
        <w:t xml:space="preserve">Debe recordarse que la versión 1993 de la NIC 21 fue </w:t>
      </w:r>
      <w:r w:rsidR="0051508F" w:rsidRPr="009E4CBC">
        <w:rPr>
          <w:rFonts w:cstheme="minorHAnsi"/>
        </w:rPr>
        <w:t>sustituida</w:t>
      </w:r>
      <w:r w:rsidR="007D62A6" w:rsidRPr="009E4CBC">
        <w:rPr>
          <w:rFonts w:cstheme="minorHAnsi"/>
        </w:rPr>
        <w:t xml:space="preserve"> en</w:t>
      </w:r>
      <w:r w:rsidRPr="009E4CBC">
        <w:rPr>
          <w:rFonts w:cstheme="minorHAnsi"/>
        </w:rPr>
        <w:t xml:space="preserve"> el año 2003. </w:t>
      </w:r>
    </w:p>
    <w:p w14:paraId="64843B6C" w14:textId="619159CC" w:rsidR="004145D3" w:rsidRPr="009E4CBC" w:rsidRDefault="004145D3" w:rsidP="009E4CBC">
      <w:pPr>
        <w:spacing w:line="240" w:lineRule="auto"/>
        <w:ind w:firstLine="720"/>
        <w:jc w:val="both"/>
        <w:rPr>
          <w:rFonts w:cstheme="minorHAnsi"/>
          <w:color w:val="0000FF"/>
        </w:rPr>
      </w:pPr>
      <w:r w:rsidRPr="009E4CBC">
        <w:rPr>
          <w:rFonts w:cstheme="minorHAnsi"/>
        </w:rPr>
        <w:t>Como punto de partida, excluyend</w:t>
      </w:r>
      <w:r w:rsidR="00910340" w:rsidRPr="009E4CBC">
        <w:rPr>
          <w:rFonts w:cstheme="minorHAnsi"/>
        </w:rPr>
        <w:t xml:space="preserve">o a la Resolución Técnica N°26 (la cual refiere a la </w:t>
      </w:r>
      <w:r w:rsidRPr="009E4CBC">
        <w:rPr>
          <w:rFonts w:cstheme="minorHAnsi"/>
        </w:rPr>
        <w:t>adopción de</w:t>
      </w:r>
      <w:r w:rsidR="00910340" w:rsidRPr="009E4CBC">
        <w:rPr>
          <w:rFonts w:cstheme="minorHAnsi"/>
        </w:rPr>
        <w:t xml:space="preserve"> las</w:t>
      </w:r>
      <w:r w:rsidRPr="009E4CBC">
        <w:rPr>
          <w:rFonts w:cstheme="minorHAnsi"/>
        </w:rPr>
        <w:t xml:space="preserve"> NIC</w:t>
      </w:r>
      <w:r w:rsidR="00910340" w:rsidRPr="009E4CBC">
        <w:rPr>
          <w:rFonts w:cstheme="minorHAnsi"/>
        </w:rPr>
        <w:t>/</w:t>
      </w:r>
      <w:r w:rsidRPr="009E4CBC">
        <w:rPr>
          <w:rFonts w:cstheme="minorHAnsi"/>
        </w:rPr>
        <w:t>NIIF), en las normas contables</w:t>
      </w:r>
      <w:r w:rsidR="00433A62" w:rsidRPr="009E4CBC">
        <w:rPr>
          <w:rFonts w:cstheme="minorHAnsi"/>
        </w:rPr>
        <w:t xml:space="preserve"> profesionales</w:t>
      </w:r>
      <w:r w:rsidRPr="009E4CBC">
        <w:rPr>
          <w:rFonts w:cstheme="minorHAnsi"/>
        </w:rPr>
        <w:t xml:space="preserve"> no se define explícitamente cuál debe ser la moneda de medición de una entidad informante. Sin embargo, la </w:t>
      </w:r>
      <w:r w:rsidR="00433A62" w:rsidRPr="009E4CBC">
        <w:rPr>
          <w:rFonts w:cstheme="minorHAnsi"/>
        </w:rPr>
        <w:t>RT</w:t>
      </w:r>
      <w:r w:rsidRPr="009E4CBC">
        <w:rPr>
          <w:rFonts w:cstheme="minorHAnsi"/>
        </w:rPr>
        <w:t>17 (en su segunda parte sección 3.2) indica que las conversiones de las transacciones y saldos se realizan de moneda extranjera a moneda argentina (</w:t>
      </w:r>
      <w:r w:rsidR="00863127" w:rsidRPr="009E4CBC">
        <w:rPr>
          <w:rFonts w:cstheme="minorHAnsi"/>
        </w:rPr>
        <w:t xml:space="preserve">Fowler </w:t>
      </w:r>
      <w:r w:rsidRPr="009E4CBC">
        <w:rPr>
          <w:rFonts w:cstheme="minorHAnsi"/>
        </w:rPr>
        <w:t xml:space="preserve">Newton, 2010). </w:t>
      </w:r>
    </w:p>
    <w:p w14:paraId="7D94790A" w14:textId="009ECC74" w:rsidR="004145D3" w:rsidRPr="009E4CBC" w:rsidRDefault="004145D3" w:rsidP="009E4CBC">
      <w:pPr>
        <w:spacing w:line="240" w:lineRule="auto"/>
        <w:ind w:firstLine="720"/>
        <w:jc w:val="both"/>
        <w:rPr>
          <w:rFonts w:cstheme="minorHAnsi"/>
        </w:rPr>
      </w:pPr>
      <w:r w:rsidRPr="009E4CBC">
        <w:rPr>
          <w:rFonts w:cstheme="minorHAnsi"/>
        </w:rPr>
        <w:t xml:space="preserve">El método de conversión de los estados financieros según la </w:t>
      </w:r>
      <w:r w:rsidR="00433A62" w:rsidRPr="009E4CBC">
        <w:rPr>
          <w:rFonts w:cstheme="minorHAnsi"/>
        </w:rPr>
        <w:t>RT</w:t>
      </w:r>
      <w:r w:rsidRPr="009E4CBC">
        <w:rPr>
          <w:rFonts w:cstheme="minorHAnsi"/>
        </w:rPr>
        <w:t>18 considera el grado de integración de las actividades de la participada con las del inversor. Distingue entre:</w:t>
      </w:r>
      <w:r w:rsidR="0011626E" w:rsidRPr="009E4CBC">
        <w:rPr>
          <w:rFonts w:cstheme="minorHAnsi"/>
        </w:rPr>
        <w:t xml:space="preserve"> e</w:t>
      </w:r>
      <w:r w:rsidRPr="009E4CBC">
        <w:rPr>
          <w:rFonts w:cstheme="minorHAnsi"/>
        </w:rPr>
        <w:t>ntidades integradas</w:t>
      </w:r>
      <w:r w:rsidR="00677047">
        <w:rPr>
          <w:rFonts w:cstheme="minorHAnsi"/>
        </w:rPr>
        <w:t>,</w:t>
      </w:r>
      <w:r w:rsidRPr="009E4CBC">
        <w:rPr>
          <w:rFonts w:cstheme="minorHAnsi"/>
        </w:rPr>
        <w:t xml:space="preserve"> que llevan a cabo su operación como si fuera una extensión de las operaciones de la inversora; y</w:t>
      </w:r>
      <w:r w:rsidR="0011626E" w:rsidRPr="009E4CBC">
        <w:rPr>
          <w:rFonts w:cstheme="minorHAnsi"/>
        </w:rPr>
        <w:t xml:space="preserve"> e</w:t>
      </w:r>
      <w:r w:rsidRPr="009E4CBC">
        <w:rPr>
          <w:rFonts w:cstheme="minorHAnsi"/>
        </w:rPr>
        <w:t>ntidades no integradas</w:t>
      </w:r>
      <w:r w:rsidR="00677047">
        <w:rPr>
          <w:rFonts w:cstheme="minorHAnsi"/>
        </w:rPr>
        <w:t>,</w:t>
      </w:r>
      <w:r w:rsidRPr="009E4CBC">
        <w:rPr>
          <w:rFonts w:cstheme="minorHAnsi"/>
        </w:rPr>
        <w:t xml:space="preserve"> que acumulan efectivo y otras partidas monetarias, incurren en gastos, generan ingresos y obtienen financiación, pero todo ello lo hacen sustancialmente, en su país. Adicionalmente a esto, pueden realizar operaciones en otra moneda, incluso en la moneda de los estados contables de la inversora.</w:t>
      </w:r>
    </w:p>
    <w:p w14:paraId="64C6533C" w14:textId="0D3DCDDD" w:rsidR="00433A62" w:rsidRPr="009E4CBC" w:rsidRDefault="00433A62" w:rsidP="009E4CBC">
      <w:pPr>
        <w:spacing w:after="160" w:line="240" w:lineRule="auto"/>
        <w:jc w:val="both"/>
        <w:rPr>
          <w:rFonts w:cstheme="minorHAnsi"/>
        </w:rPr>
      </w:pPr>
      <w:r w:rsidRPr="009E4CBC">
        <w:rPr>
          <w:rFonts w:cstheme="minorHAnsi"/>
        </w:rPr>
        <w:tab/>
        <w:t xml:space="preserve">Esta diferenciación no es del todo clara y no resulta evidente dónde encuadrar cada </w:t>
      </w:r>
      <w:r w:rsidR="000D43B1" w:rsidRPr="009E4CBC">
        <w:rPr>
          <w:rFonts w:cstheme="minorHAnsi"/>
        </w:rPr>
        <w:t xml:space="preserve">entidad. </w:t>
      </w:r>
      <w:r w:rsidRPr="009E4CBC">
        <w:rPr>
          <w:rFonts w:cstheme="minorHAnsi"/>
        </w:rPr>
        <w:t>La normativa enumera una serie de pautas que definen la no integración:</w:t>
      </w:r>
    </w:p>
    <w:p w14:paraId="6DCAC6EE" w14:textId="77777777" w:rsidR="00C05E27" w:rsidRDefault="00433A62" w:rsidP="00C05E27">
      <w:pPr>
        <w:pStyle w:val="Prrafodelista"/>
        <w:numPr>
          <w:ilvl w:val="0"/>
          <w:numId w:val="38"/>
        </w:numPr>
        <w:spacing w:line="240" w:lineRule="auto"/>
        <w:jc w:val="both"/>
        <w:rPr>
          <w:rFonts w:cstheme="minorHAnsi"/>
        </w:rPr>
      </w:pPr>
      <w:r w:rsidRPr="00C05E27">
        <w:rPr>
          <w:rFonts w:cstheme="minorHAnsi"/>
        </w:rPr>
        <w:t>Operaciones en el extranjero con considerable grado de autonomía.</w:t>
      </w:r>
    </w:p>
    <w:p w14:paraId="3DAF06C8" w14:textId="77777777" w:rsidR="00C05E27" w:rsidRDefault="00433A62" w:rsidP="00C05E27">
      <w:pPr>
        <w:pStyle w:val="Prrafodelista"/>
        <w:numPr>
          <w:ilvl w:val="0"/>
          <w:numId w:val="38"/>
        </w:numPr>
        <w:spacing w:line="240" w:lineRule="auto"/>
        <w:jc w:val="both"/>
        <w:rPr>
          <w:rFonts w:cstheme="minorHAnsi"/>
        </w:rPr>
      </w:pPr>
      <w:r w:rsidRPr="00C05E27">
        <w:rPr>
          <w:rFonts w:cstheme="minorHAnsi"/>
        </w:rPr>
        <w:t>Las transacciones con la inversora no son en elevada proporción para las actividades de la entidad en el extranjero.</w:t>
      </w:r>
    </w:p>
    <w:p w14:paraId="441B88FA" w14:textId="77777777" w:rsidR="00C05E27" w:rsidRDefault="00433A62" w:rsidP="00C05E27">
      <w:pPr>
        <w:pStyle w:val="Prrafodelista"/>
        <w:numPr>
          <w:ilvl w:val="0"/>
          <w:numId w:val="38"/>
        </w:numPr>
        <w:spacing w:line="240" w:lineRule="auto"/>
        <w:jc w:val="both"/>
        <w:rPr>
          <w:rFonts w:cstheme="minorHAnsi"/>
        </w:rPr>
      </w:pPr>
      <w:r w:rsidRPr="00C05E27">
        <w:rPr>
          <w:rFonts w:cstheme="minorHAnsi"/>
        </w:rPr>
        <w:lastRenderedPageBreak/>
        <w:t>Financiación sin recurrir a fondos prestados de la inversora, mediante fondos procedentes de sus operaciones o préstamos locales.</w:t>
      </w:r>
    </w:p>
    <w:p w14:paraId="4C93AB49" w14:textId="77777777" w:rsidR="00C05E27" w:rsidRDefault="00433A62" w:rsidP="00C05E27">
      <w:pPr>
        <w:pStyle w:val="Prrafodelista"/>
        <w:numPr>
          <w:ilvl w:val="0"/>
          <w:numId w:val="38"/>
        </w:numPr>
        <w:spacing w:line="240" w:lineRule="auto"/>
        <w:jc w:val="both"/>
        <w:rPr>
          <w:rFonts w:cstheme="minorHAnsi"/>
        </w:rPr>
      </w:pPr>
      <w:r w:rsidRPr="00C05E27">
        <w:rPr>
          <w:rFonts w:cstheme="minorHAnsi"/>
        </w:rPr>
        <w:t>Las transacciones de las operaciones en el extranjero se cancelan en moneda local y no en la moneda de los estados contables de la inversora.</w:t>
      </w:r>
    </w:p>
    <w:p w14:paraId="1FC744E7" w14:textId="77777777" w:rsidR="00C05E27" w:rsidRDefault="00433A62" w:rsidP="00C05E27">
      <w:pPr>
        <w:pStyle w:val="Prrafodelista"/>
        <w:numPr>
          <w:ilvl w:val="0"/>
          <w:numId w:val="38"/>
        </w:numPr>
        <w:spacing w:line="240" w:lineRule="auto"/>
        <w:jc w:val="both"/>
        <w:rPr>
          <w:rFonts w:cstheme="minorHAnsi"/>
        </w:rPr>
      </w:pPr>
      <w:r w:rsidRPr="00C05E27">
        <w:rPr>
          <w:rFonts w:cstheme="minorHAnsi"/>
        </w:rPr>
        <w:t>Las ventas en el extranjero se producen en moneda distinta a la de los estados contables de la inversora.</w:t>
      </w:r>
    </w:p>
    <w:p w14:paraId="10E16DF3" w14:textId="3AAB0C5D" w:rsidR="00433A62" w:rsidRPr="00C05E27" w:rsidRDefault="00433A62" w:rsidP="00C05E27">
      <w:pPr>
        <w:pStyle w:val="Prrafodelista"/>
        <w:numPr>
          <w:ilvl w:val="0"/>
          <w:numId w:val="38"/>
        </w:numPr>
        <w:spacing w:line="240" w:lineRule="auto"/>
        <w:jc w:val="both"/>
        <w:rPr>
          <w:rFonts w:cstheme="minorHAnsi"/>
        </w:rPr>
      </w:pPr>
      <w:r w:rsidRPr="00C05E27">
        <w:rPr>
          <w:rFonts w:cstheme="minorHAnsi"/>
        </w:rPr>
        <w:t>Los flujos de efectivo de la inversora son independientes de las actividades cotidianas de las operaciones en el extranjero.</w:t>
      </w:r>
    </w:p>
    <w:p w14:paraId="16E539BE" w14:textId="73FB055D" w:rsidR="00433A62" w:rsidRPr="009E4CBC" w:rsidRDefault="000D43B1" w:rsidP="009E4CBC">
      <w:pPr>
        <w:spacing w:after="160" w:line="240" w:lineRule="auto"/>
        <w:jc w:val="both"/>
        <w:rPr>
          <w:rFonts w:cstheme="minorHAnsi"/>
        </w:rPr>
      </w:pPr>
      <w:r w:rsidRPr="009E4CBC">
        <w:rPr>
          <w:rFonts w:cstheme="minorHAnsi"/>
        </w:rPr>
        <w:tab/>
      </w:r>
      <w:r w:rsidR="00433A62" w:rsidRPr="009E4CBC">
        <w:rPr>
          <w:rFonts w:cstheme="minorHAnsi"/>
        </w:rPr>
        <w:t xml:space="preserve">Esto resulta enrevesado de llevar a cabo, ya que se permite cierto grado de manipulación. La norma no es taxativa, y tampoco determina si se deben cumplir todas las condiciones o si una es más relevante que otra. De esta forma, tiene mucho peso el criterio de cada empresa a la hora de determinar y demostrar en qué categoría se encuadra. Esto provoca un problema a la hora de la comparabilidad de estados contables de diversos entes según la clasificación que realice cada </w:t>
      </w:r>
      <w:r w:rsidR="0078329E" w:rsidRPr="009E4CBC">
        <w:rPr>
          <w:rFonts w:cstheme="minorHAnsi"/>
        </w:rPr>
        <w:t>una</w:t>
      </w:r>
      <w:r w:rsidR="00433A62" w:rsidRPr="009E4CBC">
        <w:rPr>
          <w:rFonts w:cstheme="minorHAnsi"/>
        </w:rPr>
        <w:t xml:space="preserve"> de las sociedades en las que posee participación (Arena, 2015).</w:t>
      </w:r>
      <w:r w:rsidR="00677047">
        <w:rPr>
          <w:rFonts w:cstheme="minorHAnsi"/>
        </w:rPr>
        <w:t xml:space="preserve"> </w:t>
      </w:r>
    </w:p>
    <w:p w14:paraId="0AE09D50" w14:textId="77777777" w:rsidR="002907AC" w:rsidRPr="009E4CBC" w:rsidRDefault="002907AC" w:rsidP="009E4CBC">
      <w:pPr>
        <w:spacing w:after="160" w:line="240" w:lineRule="auto"/>
        <w:jc w:val="both"/>
        <w:rPr>
          <w:rFonts w:cstheme="minorHAnsi"/>
        </w:rPr>
      </w:pPr>
    </w:p>
    <w:p w14:paraId="43F46F37" w14:textId="091D5AF9" w:rsidR="004145D3" w:rsidRPr="009E4CBC" w:rsidRDefault="004145D3" w:rsidP="009E4CBC">
      <w:pPr>
        <w:pStyle w:val="Prrafodelista"/>
        <w:numPr>
          <w:ilvl w:val="3"/>
          <w:numId w:val="24"/>
        </w:numPr>
        <w:spacing w:line="240" w:lineRule="auto"/>
        <w:jc w:val="both"/>
        <w:rPr>
          <w:rFonts w:cstheme="minorHAnsi"/>
          <w:b/>
        </w:rPr>
      </w:pPr>
      <w:r w:rsidRPr="009E4CBC">
        <w:rPr>
          <w:rFonts w:cstheme="minorHAnsi"/>
          <w:b/>
        </w:rPr>
        <w:t>Conversión de estados contables de entidades integradas</w:t>
      </w:r>
    </w:p>
    <w:p w14:paraId="135B711E" w14:textId="49AB6C82" w:rsidR="004145D3" w:rsidRPr="009E4CBC" w:rsidRDefault="005172A1" w:rsidP="00B10C99">
      <w:pPr>
        <w:spacing w:line="240" w:lineRule="auto"/>
        <w:ind w:firstLine="720"/>
        <w:jc w:val="both"/>
        <w:rPr>
          <w:rFonts w:cstheme="minorHAnsi"/>
        </w:rPr>
      </w:pPr>
      <w:r>
        <w:rPr>
          <w:rFonts w:cstheme="minorHAnsi"/>
        </w:rPr>
        <w:t>Para el caso de entidades integradas</w:t>
      </w:r>
      <w:r w:rsidR="004145D3" w:rsidRPr="009E4CBC">
        <w:rPr>
          <w:rFonts w:cstheme="minorHAnsi"/>
        </w:rPr>
        <w:t xml:space="preserve">, los estados contables emitidos en moneda extranjera se convierten a moneda argentina con los tipos de cambio correspondientes a la fecha del poder adquisitivo en que esté expresada la medición. Y, cuando corresponda, se deben reexpresar las partidas a moneda de cierre según lo establecido en la </w:t>
      </w:r>
      <w:r w:rsidR="00EF737E" w:rsidRPr="009E4CBC">
        <w:rPr>
          <w:rFonts w:cstheme="minorHAnsi"/>
        </w:rPr>
        <w:t>RT</w:t>
      </w:r>
      <w:r w:rsidR="004145D3" w:rsidRPr="009E4CBC">
        <w:rPr>
          <w:rFonts w:cstheme="minorHAnsi"/>
        </w:rPr>
        <w:t>17 en la sección 3.1. El método consiste en</w:t>
      </w:r>
      <w:r w:rsidR="0051508F" w:rsidRPr="009E4CBC">
        <w:rPr>
          <w:rFonts w:cstheme="minorHAnsi"/>
        </w:rPr>
        <w:t xml:space="preserve"> que</w:t>
      </w:r>
      <w:r w:rsidR="004145D3" w:rsidRPr="009E4CBC">
        <w:rPr>
          <w:rFonts w:cstheme="minorHAnsi"/>
        </w:rPr>
        <w:t>:</w:t>
      </w:r>
    </w:p>
    <w:p w14:paraId="360F4119" w14:textId="2A29D088" w:rsidR="004145D3" w:rsidRPr="009E4CBC" w:rsidRDefault="0051508F" w:rsidP="009E4CBC">
      <w:pPr>
        <w:numPr>
          <w:ilvl w:val="0"/>
          <w:numId w:val="32"/>
        </w:numPr>
        <w:spacing w:after="0" w:line="240" w:lineRule="auto"/>
        <w:jc w:val="both"/>
        <w:rPr>
          <w:rFonts w:cstheme="minorHAnsi"/>
        </w:rPr>
      </w:pPr>
      <w:r w:rsidRPr="009E4CBC">
        <w:rPr>
          <w:rFonts w:cstheme="minorHAnsi"/>
        </w:rPr>
        <w:t>L</w:t>
      </w:r>
      <w:r w:rsidR="004145D3" w:rsidRPr="009E4CBC">
        <w:rPr>
          <w:rFonts w:cstheme="minorHAnsi"/>
        </w:rPr>
        <w:t xml:space="preserve">as partidas expresadas en moneda extranjera de cierre, se </w:t>
      </w:r>
      <w:r w:rsidRPr="009E4CBC">
        <w:rPr>
          <w:rFonts w:cstheme="minorHAnsi"/>
        </w:rPr>
        <w:t>convierten utilizando</w:t>
      </w:r>
      <w:r w:rsidR="004145D3" w:rsidRPr="009E4CBC">
        <w:rPr>
          <w:rFonts w:cstheme="minorHAnsi"/>
        </w:rPr>
        <w:t xml:space="preserve"> el tipo de cambio de fecha de los estados contables.</w:t>
      </w:r>
    </w:p>
    <w:p w14:paraId="02413494" w14:textId="0AF6681A" w:rsidR="004145D3" w:rsidRPr="009E4CBC" w:rsidRDefault="0051508F" w:rsidP="009E4CBC">
      <w:pPr>
        <w:numPr>
          <w:ilvl w:val="0"/>
          <w:numId w:val="32"/>
        </w:numPr>
        <w:spacing w:after="0" w:line="240" w:lineRule="auto"/>
        <w:jc w:val="both"/>
        <w:rPr>
          <w:rFonts w:cstheme="minorHAnsi"/>
        </w:rPr>
      </w:pPr>
      <w:r w:rsidRPr="009E4CBC">
        <w:rPr>
          <w:rFonts w:cstheme="minorHAnsi"/>
        </w:rPr>
        <w:t>L</w:t>
      </w:r>
      <w:r w:rsidR="004145D3" w:rsidRPr="009E4CBC">
        <w:rPr>
          <w:rFonts w:cstheme="minorHAnsi"/>
        </w:rPr>
        <w:t xml:space="preserve">as partidas expresadas en momentos anteriores al de cierre, se deben convertir </w:t>
      </w:r>
      <w:r w:rsidRPr="009E4CBC">
        <w:rPr>
          <w:rFonts w:cstheme="minorHAnsi"/>
        </w:rPr>
        <w:t>emple</w:t>
      </w:r>
      <w:r w:rsidR="004145D3" w:rsidRPr="009E4CBC">
        <w:rPr>
          <w:rFonts w:cstheme="minorHAnsi"/>
        </w:rPr>
        <w:t>ando los correspondientes tipos de cambio históricos.</w:t>
      </w:r>
    </w:p>
    <w:p w14:paraId="1A8AB2BD" w14:textId="77777777" w:rsidR="004145D3" w:rsidRPr="009E4CBC" w:rsidRDefault="004145D3" w:rsidP="009E4CBC">
      <w:pPr>
        <w:numPr>
          <w:ilvl w:val="0"/>
          <w:numId w:val="32"/>
        </w:numPr>
        <w:spacing w:after="0" w:line="240" w:lineRule="auto"/>
        <w:jc w:val="both"/>
        <w:rPr>
          <w:rFonts w:cstheme="minorHAnsi"/>
        </w:rPr>
      </w:pPr>
      <w:r w:rsidRPr="009E4CBC">
        <w:rPr>
          <w:rFonts w:cstheme="minorHAnsi"/>
        </w:rPr>
        <w:t xml:space="preserve">Cuando se computen desvalorizaciones por comparaciones de valores históricos y recuperables (o costos de cancelación), se convierten a moneda argentina los importes comparados con los tipos de cambio correspondientes a la fecha de su medición; se comparan esos nuevos valores determinados; y, se aplica la norma de desvalorización respectiva. </w:t>
      </w:r>
    </w:p>
    <w:p w14:paraId="55F7AD24" w14:textId="77777777" w:rsidR="004145D3" w:rsidRPr="009E4CBC" w:rsidRDefault="004145D3" w:rsidP="009E4CBC">
      <w:pPr>
        <w:numPr>
          <w:ilvl w:val="0"/>
          <w:numId w:val="32"/>
        </w:numPr>
        <w:spacing w:after="0" w:line="240" w:lineRule="auto"/>
        <w:jc w:val="both"/>
        <w:rPr>
          <w:rFonts w:cstheme="minorHAnsi"/>
        </w:rPr>
      </w:pPr>
      <w:r w:rsidRPr="009E4CBC">
        <w:rPr>
          <w:rFonts w:cstheme="minorHAnsi"/>
        </w:rPr>
        <w:t>Si aparecen ganancias o pérdidas por comparaciones de importes expresados en monedas de diferentes poderes adquisitivos, se convierten a moneda argentina con los tipos de cambio propios de los poderes adquisitivos en que se encuentran expresados; y, se comparan los importes en moneda argentina.</w:t>
      </w:r>
    </w:p>
    <w:p w14:paraId="19BA1C91" w14:textId="77777777" w:rsidR="004145D3" w:rsidRPr="009E4CBC" w:rsidRDefault="004145D3" w:rsidP="009E4CBC">
      <w:pPr>
        <w:numPr>
          <w:ilvl w:val="0"/>
          <w:numId w:val="32"/>
        </w:numPr>
        <w:spacing w:after="160" w:line="240" w:lineRule="auto"/>
        <w:jc w:val="both"/>
        <w:rPr>
          <w:rFonts w:cstheme="minorHAnsi"/>
        </w:rPr>
      </w:pPr>
      <w:r w:rsidRPr="009E4CBC">
        <w:rPr>
          <w:rFonts w:cstheme="minorHAnsi"/>
        </w:rPr>
        <w:t>Las diferencias de cambio que surjan por la aplicación del método, se imputarán como ingresos o costos financieros.</w:t>
      </w:r>
    </w:p>
    <w:p w14:paraId="13E69C07" w14:textId="77777777" w:rsidR="004145D3" w:rsidRPr="009E4CBC" w:rsidRDefault="004145D3" w:rsidP="009E4CBC">
      <w:pPr>
        <w:spacing w:line="240" w:lineRule="auto"/>
        <w:ind w:firstLine="720"/>
        <w:jc w:val="both"/>
        <w:rPr>
          <w:rFonts w:cstheme="minorHAnsi"/>
        </w:rPr>
      </w:pPr>
      <w:r w:rsidRPr="009E4CBC">
        <w:rPr>
          <w:rFonts w:cstheme="minorHAnsi"/>
        </w:rPr>
        <w:t>En su artículo, Torres plantea que:</w:t>
      </w:r>
    </w:p>
    <w:p w14:paraId="10FC789C" w14:textId="74EA7B61" w:rsidR="004145D3" w:rsidRPr="009E4CBC" w:rsidRDefault="00FB10B8" w:rsidP="009E4CBC">
      <w:pPr>
        <w:spacing w:line="240" w:lineRule="auto"/>
        <w:ind w:left="720"/>
        <w:jc w:val="both"/>
        <w:rPr>
          <w:rFonts w:cstheme="minorHAnsi"/>
          <w:sz w:val="20"/>
          <w:szCs w:val="20"/>
        </w:rPr>
      </w:pPr>
      <w:r w:rsidRPr="009E4CBC">
        <w:rPr>
          <w:rFonts w:cstheme="minorHAnsi"/>
          <w:sz w:val="20"/>
          <w:szCs w:val="20"/>
        </w:rPr>
        <w:t>“</w:t>
      </w:r>
      <w:r w:rsidR="004145D3" w:rsidRPr="009E4CBC">
        <w:rPr>
          <w:rFonts w:cstheme="minorHAnsi"/>
          <w:sz w:val="20"/>
          <w:szCs w:val="20"/>
        </w:rPr>
        <w:t>Se trata entonces del método “convertir-ajustar”, sin consignarse en forma expresa en la Resolución Técnica N°18, si debe seguirse considerando la adecuación que había previsto para el mismo la Resolución Técnica Nº 13, mediante la cual a los bienes de la empresa situada en el exterior se le aplicaba el método inverso “ajustar-convertir”, imputando a resultados la diferencia entre ambas mediciones</w:t>
      </w:r>
      <w:r w:rsidRPr="009E4CBC">
        <w:rPr>
          <w:rFonts w:cstheme="minorHAnsi"/>
          <w:sz w:val="20"/>
          <w:szCs w:val="20"/>
        </w:rPr>
        <w:t>”</w:t>
      </w:r>
      <w:r w:rsidR="004145D3" w:rsidRPr="009E4CBC">
        <w:rPr>
          <w:rFonts w:cstheme="minorHAnsi"/>
          <w:sz w:val="20"/>
          <w:szCs w:val="20"/>
        </w:rPr>
        <w:t xml:space="preserve"> (Torres, 2005, p. 37).</w:t>
      </w:r>
    </w:p>
    <w:p w14:paraId="40ABB7C3" w14:textId="65FFAF0C" w:rsidR="004145D3" w:rsidRPr="009E4CBC" w:rsidRDefault="004145D3" w:rsidP="009E4CBC">
      <w:pPr>
        <w:spacing w:line="240" w:lineRule="auto"/>
        <w:ind w:firstLine="720"/>
        <w:jc w:val="both"/>
        <w:rPr>
          <w:rFonts w:cstheme="minorHAnsi"/>
        </w:rPr>
      </w:pPr>
      <w:r w:rsidRPr="009E4CBC">
        <w:rPr>
          <w:rFonts w:cstheme="minorHAnsi"/>
        </w:rPr>
        <w:t xml:space="preserve">Asimismo el autor sostiene que, al considerarse los negocios conjuntos como una extensión de las actividades de sus participantes, el método para convertir los estados </w:t>
      </w:r>
      <w:r w:rsidRPr="009E4CBC">
        <w:rPr>
          <w:rFonts w:cstheme="minorHAnsi"/>
        </w:rPr>
        <w:lastRenderedPageBreak/>
        <w:t>contables de estos debe ser el temporal. Y, ante la existencia de un contexto de inestabilidad monetaria, se aplica el método convertir-ajustar.</w:t>
      </w:r>
    </w:p>
    <w:p w14:paraId="1CEB46EA" w14:textId="77777777" w:rsidR="002907AC" w:rsidRPr="009E4CBC" w:rsidRDefault="002907AC" w:rsidP="009E4CBC">
      <w:pPr>
        <w:spacing w:line="240" w:lineRule="auto"/>
        <w:ind w:firstLine="720"/>
        <w:jc w:val="both"/>
        <w:rPr>
          <w:rFonts w:cstheme="minorHAnsi"/>
        </w:rPr>
      </w:pPr>
    </w:p>
    <w:p w14:paraId="16B58B6F" w14:textId="20F10E61" w:rsidR="004145D3" w:rsidRPr="009E4CBC" w:rsidRDefault="004145D3" w:rsidP="009E4CBC">
      <w:pPr>
        <w:pStyle w:val="Prrafodelista"/>
        <w:numPr>
          <w:ilvl w:val="3"/>
          <w:numId w:val="24"/>
        </w:numPr>
        <w:spacing w:line="240" w:lineRule="auto"/>
        <w:jc w:val="both"/>
        <w:rPr>
          <w:rFonts w:cstheme="minorHAnsi"/>
          <w:b/>
        </w:rPr>
      </w:pPr>
      <w:r w:rsidRPr="009E4CBC">
        <w:rPr>
          <w:rFonts w:cstheme="minorHAnsi"/>
          <w:b/>
        </w:rPr>
        <w:t>Conversión de estados contables de entidades no integradas</w:t>
      </w:r>
    </w:p>
    <w:p w14:paraId="4DB2E1C3" w14:textId="2A0460EC" w:rsidR="004145D3" w:rsidRPr="009E4CBC" w:rsidRDefault="004145D3" w:rsidP="009E4CBC">
      <w:pPr>
        <w:spacing w:line="240" w:lineRule="auto"/>
        <w:jc w:val="both"/>
        <w:rPr>
          <w:rFonts w:cstheme="minorHAnsi"/>
        </w:rPr>
      </w:pPr>
      <w:r w:rsidRPr="009E4CBC">
        <w:rPr>
          <w:rFonts w:cstheme="minorHAnsi"/>
        </w:rPr>
        <w:tab/>
        <w:t xml:space="preserve">La variante que presenta la </w:t>
      </w:r>
      <w:r w:rsidR="00EF737E" w:rsidRPr="009E4CBC">
        <w:rPr>
          <w:rFonts w:cstheme="minorHAnsi"/>
        </w:rPr>
        <w:t>RT</w:t>
      </w:r>
      <w:r w:rsidRPr="009E4CBC">
        <w:rPr>
          <w:rFonts w:cstheme="minorHAnsi"/>
        </w:rPr>
        <w:t>18 respecto a la NIC 21 (del año 1993) en la cual se basa para el desarrollo de los métodos es que, para entidades no integradas, la normativa permite optar entre el método que se aplica obligatoriamente a la</w:t>
      </w:r>
      <w:r w:rsidR="00433A62" w:rsidRPr="009E4CBC">
        <w:rPr>
          <w:rFonts w:cstheme="minorHAnsi"/>
        </w:rPr>
        <w:t>s</w:t>
      </w:r>
      <w:r w:rsidRPr="009E4CBC">
        <w:rPr>
          <w:rFonts w:cstheme="minorHAnsi"/>
        </w:rPr>
        <w:t xml:space="preserve"> entidades integradas o el siguiente:</w:t>
      </w:r>
    </w:p>
    <w:p w14:paraId="628BD7C5" w14:textId="05070F69" w:rsidR="004145D3" w:rsidRPr="009E4CBC" w:rsidRDefault="004145D3" w:rsidP="009E4CBC">
      <w:pPr>
        <w:numPr>
          <w:ilvl w:val="0"/>
          <w:numId w:val="33"/>
        </w:numPr>
        <w:spacing w:after="0" w:line="240" w:lineRule="auto"/>
        <w:jc w:val="both"/>
        <w:rPr>
          <w:rFonts w:cstheme="minorHAnsi"/>
        </w:rPr>
      </w:pPr>
      <w:r w:rsidRPr="009E4CBC">
        <w:rPr>
          <w:rFonts w:cstheme="minorHAnsi"/>
        </w:rPr>
        <w:t xml:space="preserve">Se evaluará la existencia de un contexto inflacionario en el país de la moneda extranjera con el objeto de expresarlo en moneda homogénea (según </w:t>
      </w:r>
      <w:r w:rsidR="00EF737E" w:rsidRPr="009E4CBC">
        <w:rPr>
          <w:rFonts w:cstheme="minorHAnsi"/>
        </w:rPr>
        <w:t>RT</w:t>
      </w:r>
      <w:r w:rsidRPr="009E4CBC">
        <w:rPr>
          <w:rFonts w:cstheme="minorHAnsi"/>
        </w:rPr>
        <w:t xml:space="preserve">17). </w:t>
      </w:r>
    </w:p>
    <w:p w14:paraId="29E189EB" w14:textId="77777777" w:rsidR="004145D3" w:rsidRPr="009E4CBC" w:rsidRDefault="004145D3" w:rsidP="009E4CBC">
      <w:pPr>
        <w:numPr>
          <w:ilvl w:val="0"/>
          <w:numId w:val="33"/>
        </w:numPr>
        <w:spacing w:after="0" w:line="240" w:lineRule="auto"/>
        <w:jc w:val="both"/>
        <w:rPr>
          <w:rFonts w:cstheme="minorHAnsi"/>
        </w:rPr>
      </w:pPr>
      <w:r w:rsidRPr="009E4CBC">
        <w:rPr>
          <w:rFonts w:cstheme="minorHAnsi"/>
        </w:rPr>
        <w:t xml:space="preserve">Para la conversión de los activos y pasivos se utilizará el tipo de cambio de cierre de los estados contables. </w:t>
      </w:r>
    </w:p>
    <w:p w14:paraId="4C74BEAF" w14:textId="77777777" w:rsidR="004145D3" w:rsidRPr="009E4CBC" w:rsidRDefault="004145D3" w:rsidP="009E4CBC">
      <w:pPr>
        <w:numPr>
          <w:ilvl w:val="0"/>
          <w:numId w:val="33"/>
        </w:numPr>
        <w:spacing w:after="0" w:line="240" w:lineRule="auto"/>
        <w:jc w:val="both"/>
        <w:rPr>
          <w:rFonts w:cstheme="minorHAnsi"/>
        </w:rPr>
      </w:pPr>
      <w:r w:rsidRPr="009E4CBC">
        <w:rPr>
          <w:rFonts w:cstheme="minorHAnsi"/>
        </w:rPr>
        <w:t>Los resultados se convertirán utilizando el tipo de cambio a la fecha de las transacciones.</w:t>
      </w:r>
    </w:p>
    <w:p w14:paraId="35C40FE6" w14:textId="77777777" w:rsidR="004145D3" w:rsidRPr="009E4CBC" w:rsidRDefault="004145D3" w:rsidP="009E4CBC">
      <w:pPr>
        <w:numPr>
          <w:ilvl w:val="0"/>
          <w:numId w:val="33"/>
        </w:numPr>
        <w:spacing w:after="160" w:line="240" w:lineRule="auto"/>
        <w:jc w:val="both"/>
        <w:rPr>
          <w:rFonts w:cstheme="minorHAnsi"/>
        </w:rPr>
      </w:pPr>
      <w:r w:rsidRPr="009E4CBC">
        <w:rPr>
          <w:rFonts w:cstheme="minorHAnsi"/>
        </w:rPr>
        <w:t>Las diferencias de cambio que surgen por la conversión se deben imputar a un rubro específico del patrimonio neto hasta que se produzca la venta de la inversión neta o el reembolso total o parcial del capital.</w:t>
      </w:r>
    </w:p>
    <w:p w14:paraId="3DA2B99B" w14:textId="2786A50B" w:rsidR="004145D3" w:rsidRPr="009E4CBC" w:rsidRDefault="004145D3" w:rsidP="009E4CBC">
      <w:pPr>
        <w:spacing w:line="240" w:lineRule="auto"/>
        <w:jc w:val="both"/>
        <w:rPr>
          <w:rFonts w:cstheme="minorHAnsi"/>
        </w:rPr>
      </w:pPr>
      <w:r w:rsidRPr="009E4CBC">
        <w:rPr>
          <w:rFonts w:cstheme="minorHAnsi"/>
        </w:rPr>
        <w:tab/>
        <w:t xml:space="preserve">Una observación a realizar es que el método descripto no aclara si el patrimonio inicial, aportes y retiros se deben convertir al tipo de cambio de cierre o aplicando tipos históricos de cambio. </w:t>
      </w:r>
      <w:r w:rsidR="00863127" w:rsidRPr="009E4CBC">
        <w:rPr>
          <w:rFonts w:cstheme="minorHAnsi"/>
        </w:rPr>
        <w:t xml:space="preserve">Fowler </w:t>
      </w:r>
      <w:r w:rsidRPr="009E4CBC">
        <w:rPr>
          <w:rFonts w:cstheme="minorHAnsi"/>
        </w:rPr>
        <w:t>Newton (2010) opina que lo correcto es emplear este último.</w:t>
      </w:r>
    </w:p>
    <w:p w14:paraId="26B73AFD" w14:textId="77777777" w:rsidR="004145D3" w:rsidRPr="009E4CBC" w:rsidRDefault="004145D3" w:rsidP="009E4CBC">
      <w:pPr>
        <w:spacing w:line="240" w:lineRule="auto"/>
        <w:ind w:firstLine="720"/>
        <w:jc w:val="both"/>
        <w:rPr>
          <w:rFonts w:cstheme="minorHAnsi"/>
        </w:rPr>
      </w:pPr>
      <w:r w:rsidRPr="009E4CBC">
        <w:rPr>
          <w:rFonts w:cstheme="minorHAnsi"/>
        </w:rPr>
        <w:t>En ambos métodos la norma establece que el tipo de cambio a emplear será, para cada fecha y en ausencia de circunstancias inusuales, el efectivamente aplicable para la remesa de dividendos por parte del emisor de los estados contables a convertir.</w:t>
      </w:r>
    </w:p>
    <w:p w14:paraId="3421CEE9" w14:textId="46FEFF7D" w:rsidR="002907AC" w:rsidRPr="009E4CBC" w:rsidRDefault="004145D3" w:rsidP="009E4CBC">
      <w:pPr>
        <w:spacing w:line="240" w:lineRule="auto"/>
        <w:ind w:firstLine="720"/>
        <w:jc w:val="both"/>
        <w:rPr>
          <w:rFonts w:cstheme="minorHAnsi"/>
        </w:rPr>
      </w:pPr>
      <w:r w:rsidRPr="009E4CBC">
        <w:rPr>
          <w:rFonts w:cstheme="minorHAnsi"/>
        </w:rPr>
        <w:t xml:space="preserve">Hay un punto importante en lo que respecta a la conversión de entidades no integradas con la aplicación del último método. Se puede interpretar que quien define la existencia (o no) de inflación (o deflación) en el país extranjero de los que provengan los estados contables es la FACPCE (por </w:t>
      </w:r>
      <w:r w:rsidR="00EF737E" w:rsidRPr="009E4CBC">
        <w:rPr>
          <w:rFonts w:cstheme="minorHAnsi"/>
        </w:rPr>
        <w:t>RT</w:t>
      </w:r>
      <w:r w:rsidRPr="009E4CBC">
        <w:rPr>
          <w:rFonts w:cstheme="minorHAnsi"/>
        </w:rPr>
        <w:t xml:space="preserve">17, sección 3.1). Sin embargo, </w:t>
      </w:r>
      <w:r w:rsidR="00863127" w:rsidRPr="009E4CBC">
        <w:rPr>
          <w:rFonts w:cstheme="minorHAnsi"/>
        </w:rPr>
        <w:t xml:space="preserve">Fowler </w:t>
      </w:r>
      <w:r w:rsidRPr="009E4CBC">
        <w:rPr>
          <w:rFonts w:cstheme="minorHAnsi"/>
        </w:rPr>
        <w:t xml:space="preserve">Newton (2010) sostiene que son los inversores quienes efectivamente llevan la práctica de la valuación requerida por la </w:t>
      </w:r>
      <w:r w:rsidR="00EF737E" w:rsidRPr="009E4CBC">
        <w:rPr>
          <w:rFonts w:cstheme="minorHAnsi"/>
        </w:rPr>
        <w:t>RT</w:t>
      </w:r>
      <w:r w:rsidRPr="009E4CBC">
        <w:rPr>
          <w:rFonts w:cstheme="minorHAnsi"/>
        </w:rPr>
        <w:t xml:space="preserve">18. Si se considera país de inestabilidad monetaria, se procede a la aplicación de la </w:t>
      </w:r>
      <w:r w:rsidR="00EF737E" w:rsidRPr="009E4CBC">
        <w:rPr>
          <w:rFonts w:cstheme="minorHAnsi"/>
        </w:rPr>
        <w:t>RT</w:t>
      </w:r>
      <w:r w:rsidRPr="009E4CBC">
        <w:rPr>
          <w:rFonts w:cstheme="minorHAnsi"/>
        </w:rPr>
        <w:t xml:space="preserve">6. </w:t>
      </w:r>
    </w:p>
    <w:p w14:paraId="253B7ADD" w14:textId="77777777" w:rsidR="002907AC" w:rsidRPr="009E4CBC" w:rsidRDefault="002907AC" w:rsidP="009E4CBC">
      <w:pPr>
        <w:spacing w:line="240" w:lineRule="auto"/>
        <w:ind w:firstLine="720"/>
        <w:jc w:val="both"/>
        <w:rPr>
          <w:rFonts w:cstheme="minorHAnsi"/>
        </w:rPr>
      </w:pPr>
    </w:p>
    <w:p w14:paraId="0295551C" w14:textId="13CE1D33" w:rsidR="004145D3" w:rsidRPr="009E4CBC" w:rsidRDefault="00D20E5B" w:rsidP="009E4CBC">
      <w:pPr>
        <w:pStyle w:val="Ttulo1"/>
        <w:spacing w:line="240" w:lineRule="auto"/>
        <w:rPr>
          <w:rFonts w:cstheme="minorHAnsi"/>
        </w:rPr>
      </w:pPr>
      <w:r w:rsidRPr="009E4CBC">
        <w:rPr>
          <w:rFonts w:cstheme="minorHAnsi"/>
        </w:rPr>
        <w:t>COMENTARIOS FINALES</w:t>
      </w:r>
    </w:p>
    <w:p w14:paraId="5927F4D9" w14:textId="6EE4E78D" w:rsidR="00772F9F" w:rsidRDefault="00772F9F" w:rsidP="00772F9F">
      <w:pPr>
        <w:spacing w:line="240" w:lineRule="auto"/>
        <w:ind w:firstLine="709"/>
        <w:jc w:val="both"/>
        <w:rPr>
          <w:rFonts w:cstheme="minorHAnsi"/>
        </w:rPr>
      </w:pPr>
      <w:r w:rsidRPr="00772F9F">
        <w:rPr>
          <w:rFonts w:cstheme="minorHAnsi"/>
        </w:rPr>
        <w:t xml:space="preserve">En el trabajo se ha realizado un recorrido histórico de la regulación contable asociada al tratamiento de la conversión monetaria </w:t>
      </w:r>
      <w:r w:rsidR="00EE2161">
        <w:rPr>
          <w:rFonts w:cstheme="minorHAnsi"/>
        </w:rPr>
        <w:t xml:space="preserve">de estados financieros </w:t>
      </w:r>
      <w:r w:rsidRPr="00772F9F">
        <w:rPr>
          <w:rFonts w:cstheme="minorHAnsi"/>
        </w:rPr>
        <w:t>en distintos marcos normativos. Se abordaron lo</w:t>
      </w:r>
      <w:r w:rsidR="00705778">
        <w:rPr>
          <w:rFonts w:cstheme="minorHAnsi"/>
        </w:rPr>
        <w:t>s</w:t>
      </w:r>
      <w:r w:rsidRPr="00772F9F">
        <w:rPr>
          <w:rFonts w:cstheme="minorHAnsi"/>
        </w:rPr>
        <w:t xml:space="preserve"> orígenes en la regulación estadounidense ya que representan de los primeros intentos para solucionar esta problemática. Del análisis de este derrotero surge la vinculación entre el contexto económico y la regulación contable en la definición de metodologías alternativas. Los principios contables de los Estados Unidos </w:t>
      </w:r>
      <w:r w:rsidR="00705778" w:rsidRPr="00772F9F">
        <w:rPr>
          <w:rFonts w:cstheme="minorHAnsi"/>
        </w:rPr>
        <w:t>ha</w:t>
      </w:r>
      <w:r w:rsidR="00705778">
        <w:rPr>
          <w:rFonts w:cstheme="minorHAnsi"/>
        </w:rPr>
        <w:t>n</w:t>
      </w:r>
      <w:r w:rsidR="00705778" w:rsidRPr="00772F9F">
        <w:rPr>
          <w:rFonts w:cstheme="minorHAnsi"/>
        </w:rPr>
        <w:t xml:space="preserve"> </w:t>
      </w:r>
      <w:r w:rsidRPr="00772F9F">
        <w:rPr>
          <w:rFonts w:cstheme="minorHAnsi"/>
        </w:rPr>
        <w:t xml:space="preserve">servido para que aquellas empresas que no aplicaban </w:t>
      </w:r>
      <w:r w:rsidR="00B10C99">
        <w:rPr>
          <w:rFonts w:cstheme="minorHAnsi"/>
        </w:rPr>
        <w:t xml:space="preserve">USGAAP </w:t>
      </w:r>
      <w:r w:rsidRPr="00772F9F">
        <w:rPr>
          <w:rFonts w:cstheme="minorHAnsi"/>
        </w:rPr>
        <w:t xml:space="preserve">para la preparación de información contable, solucionen el faltante de regulación contable durante varias décadas sirviendo de base para las </w:t>
      </w:r>
      <w:r>
        <w:rPr>
          <w:rFonts w:cstheme="minorHAnsi"/>
        </w:rPr>
        <w:t>alternativas</w:t>
      </w:r>
      <w:r w:rsidRPr="00772F9F">
        <w:rPr>
          <w:rFonts w:cstheme="minorHAnsi"/>
        </w:rPr>
        <w:t xml:space="preserve"> normativas en las normas contables internacionales (NIC/NIIF). Por ello se tratan en el trabajo las soluciones </w:t>
      </w:r>
      <w:r w:rsidR="00705778">
        <w:rPr>
          <w:rFonts w:cstheme="minorHAnsi"/>
        </w:rPr>
        <w:t xml:space="preserve">propuestas </w:t>
      </w:r>
      <w:r>
        <w:rPr>
          <w:rFonts w:cstheme="minorHAnsi"/>
        </w:rPr>
        <w:t xml:space="preserve">por </w:t>
      </w:r>
      <w:r w:rsidRPr="00772F9F">
        <w:rPr>
          <w:rFonts w:cstheme="minorHAnsi"/>
        </w:rPr>
        <w:t xml:space="preserve">el IASC y </w:t>
      </w:r>
      <w:r>
        <w:rPr>
          <w:rFonts w:cstheme="minorHAnsi"/>
        </w:rPr>
        <w:t xml:space="preserve">el </w:t>
      </w:r>
      <w:r w:rsidRPr="00772F9F">
        <w:rPr>
          <w:rFonts w:cstheme="minorHAnsi"/>
        </w:rPr>
        <w:t>IASB. Asimismo, se incorporan distintas instancias regulatorias en Argentina identificando un sesgo inicial hacia la producción normativa diferenciada del contexto internacional para aproximarse a variantes ya perimidas de las normas contables internacionales.</w:t>
      </w:r>
    </w:p>
    <w:p w14:paraId="37575364" w14:textId="5E93F4F9" w:rsidR="00772F9F" w:rsidRPr="009E4CBC" w:rsidRDefault="00772F9F" w:rsidP="00772F9F">
      <w:pPr>
        <w:spacing w:line="240" w:lineRule="auto"/>
        <w:ind w:firstLine="709"/>
        <w:jc w:val="both"/>
        <w:rPr>
          <w:rFonts w:cstheme="minorHAnsi"/>
        </w:rPr>
      </w:pPr>
      <w:r>
        <w:rPr>
          <w:rFonts w:cstheme="minorHAnsi"/>
        </w:rPr>
        <w:lastRenderedPageBreak/>
        <w:t>Las normas contables analizadas tienen como principal objetivo definir c</w:t>
      </w:r>
      <w:r w:rsidRPr="00EA14D3">
        <w:rPr>
          <w:rFonts w:cstheme="minorHAnsi"/>
        </w:rPr>
        <w:t>ómo incorporar, en los estados financieros de una entidad, las transacciones en moneda extranjera y los negocios en el extranjero, y cómo convertir los estados financieros a la moneda de presentación elegida.</w:t>
      </w:r>
      <w:r>
        <w:rPr>
          <w:rFonts w:cstheme="minorHAnsi"/>
        </w:rPr>
        <w:t xml:space="preserve"> </w:t>
      </w:r>
      <w:r w:rsidRPr="009E4CBC">
        <w:rPr>
          <w:rFonts w:cstheme="minorHAnsi"/>
        </w:rPr>
        <w:t xml:space="preserve">A partir del recorrido histórico de la regulación contable asociada al tratamiento de la conversión monetaria en distintos marcos normativos, puede denotarse que las principales problemáticas que se presentan consisten en la definición del tipo de cambio a utilizar </w:t>
      </w:r>
      <w:r>
        <w:rPr>
          <w:rFonts w:cstheme="minorHAnsi"/>
        </w:rPr>
        <w:t xml:space="preserve">(tipo de cambio histórico o de cierre de ejercicio), la definición de la metodología de acuerdo al grado de independencia de las entidades del grupo económico (moneda funcional o grado de integración) </w:t>
      </w:r>
      <w:r w:rsidRPr="009E4CBC">
        <w:rPr>
          <w:rFonts w:cstheme="minorHAnsi"/>
        </w:rPr>
        <w:t>así como la manera de informar en los estados financieros sobre los efectos de sus variaciones</w:t>
      </w:r>
      <w:r>
        <w:rPr>
          <w:rFonts w:cstheme="minorHAnsi"/>
        </w:rPr>
        <w:t xml:space="preserve"> (como un resultado financiero o a través del diferimiento en un componente del patrimonio neto como los otros resultados integrales)</w:t>
      </w:r>
      <w:r w:rsidR="008D1F06">
        <w:rPr>
          <w:rFonts w:cstheme="minorHAnsi"/>
        </w:rPr>
        <w:t>.</w:t>
      </w:r>
    </w:p>
    <w:p w14:paraId="6CE91B3F" w14:textId="546AF5D8" w:rsidR="00772F9F" w:rsidRPr="00772F9F" w:rsidRDefault="00772F9F" w:rsidP="00772F9F">
      <w:pPr>
        <w:spacing w:line="240" w:lineRule="auto"/>
        <w:ind w:firstLine="709"/>
        <w:jc w:val="both"/>
        <w:rPr>
          <w:rFonts w:cstheme="minorHAnsi"/>
        </w:rPr>
      </w:pPr>
      <w:r w:rsidRPr="00772F9F">
        <w:rPr>
          <w:rFonts w:cstheme="minorHAnsi"/>
        </w:rPr>
        <w:t>Los resultados de la investigación demuestran la vinculación de la normativa con el contexto, así como los intentos de convergencia internacional en una temática de gran relevancia a partir de la existencia de grupos económicos transnacionales.</w:t>
      </w:r>
    </w:p>
    <w:p w14:paraId="45C727BD" w14:textId="06DC6633" w:rsidR="00772F9F" w:rsidRPr="00772F9F" w:rsidRDefault="00772F9F" w:rsidP="00772F9F">
      <w:pPr>
        <w:spacing w:line="240" w:lineRule="auto"/>
        <w:ind w:firstLine="709"/>
        <w:jc w:val="both"/>
        <w:rPr>
          <w:rFonts w:cstheme="minorHAnsi"/>
        </w:rPr>
      </w:pPr>
      <w:r w:rsidRPr="00772F9F">
        <w:rPr>
          <w:rFonts w:cstheme="minorHAnsi"/>
        </w:rPr>
        <w:t xml:space="preserve">El principal resultado del trabajo es el análisis de las soluciones normativas con respecto a la conversión monetaria </w:t>
      </w:r>
      <w:r w:rsidR="00705778" w:rsidRPr="00772F9F">
        <w:rPr>
          <w:rFonts w:cstheme="minorHAnsi"/>
        </w:rPr>
        <w:t>revelando</w:t>
      </w:r>
      <w:r w:rsidRPr="00772F9F">
        <w:rPr>
          <w:rFonts w:cstheme="minorHAnsi"/>
        </w:rPr>
        <w:t xml:space="preserve"> que, si bien</w:t>
      </w:r>
      <w:r>
        <w:rPr>
          <w:rFonts w:cstheme="minorHAnsi"/>
        </w:rPr>
        <w:t xml:space="preserve"> el FASB y el IASB han acercado sus marcos regulatorios, </w:t>
      </w:r>
      <w:r w:rsidRPr="00772F9F">
        <w:rPr>
          <w:rFonts w:cstheme="minorHAnsi"/>
        </w:rPr>
        <w:t xml:space="preserve">la República Argentina </w:t>
      </w:r>
      <w:r w:rsidR="00705778">
        <w:rPr>
          <w:rFonts w:cstheme="minorHAnsi"/>
        </w:rPr>
        <w:t>(</w:t>
      </w:r>
      <w:proofErr w:type="spellStart"/>
      <w:r w:rsidR="00705778">
        <w:rPr>
          <w:rFonts w:cstheme="minorHAnsi"/>
        </w:rPr>
        <w:t>aún</w:t>
      </w:r>
      <w:proofErr w:type="spellEnd"/>
      <w:r w:rsidR="00705778">
        <w:rPr>
          <w:rFonts w:cstheme="minorHAnsi"/>
        </w:rPr>
        <w:t xml:space="preserve"> </w:t>
      </w:r>
      <w:r>
        <w:rPr>
          <w:rFonts w:cstheme="minorHAnsi"/>
        </w:rPr>
        <w:t xml:space="preserve">habiendo </w:t>
      </w:r>
      <w:r w:rsidRPr="00772F9F">
        <w:rPr>
          <w:rFonts w:cstheme="minorHAnsi"/>
        </w:rPr>
        <w:t>elegido un proceso de armonización de sus normas contables con los estándares internacionales (NIC/NIIF)</w:t>
      </w:r>
      <w:r w:rsidR="00705778">
        <w:rPr>
          <w:rFonts w:cstheme="minorHAnsi"/>
        </w:rPr>
        <w:t>)</w:t>
      </w:r>
      <w:r w:rsidRPr="00772F9F">
        <w:rPr>
          <w:rFonts w:cstheme="minorHAnsi"/>
        </w:rPr>
        <w:t xml:space="preserve"> </w:t>
      </w:r>
      <w:r>
        <w:rPr>
          <w:rFonts w:cstheme="minorHAnsi"/>
        </w:rPr>
        <w:t>mantiene</w:t>
      </w:r>
      <w:r w:rsidRPr="00772F9F">
        <w:rPr>
          <w:rFonts w:cstheme="minorHAnsi"/>
        </w:rPr>
        <w:t xml:space="preserve"> una diferencia </w:t>
      </w:r>
      <w:r w:rsidR="00CF39F0" w:rsidRPr="00CF39F0">
        <w:rPr>
          <w:rFonts w:cstheme="minorHAnsi"/>
        </w:rPr>
        <w:t>en este tema</w:t>
      </w:r>
      <w:r w:rsidR="008D1F06">
        <w:rPr>
          <w:rFonts w:cstheme="minorHAnsi"/>
        </w:rPr>
        <w:t>.</w:t>
      </w:r>
    </w:p>
    <w:p w14:paraId="2E0D0BE8" w14:textId="06DC70BD" w:rsidR="00772F9F" w:rsidRDefault="00772F9F" w:rsidP="00772F9F">
      <w:pPr>
        <w:spacing w:line="240" w:lineRule="auto"/>
        <w:ind w:firstLine="709"/>
        <w:jc w:val="both"/>
        <w:rPr>
          <w:rFonts w:cstheme="minorHAnsi"/>
          <w:highlight w:val="yellow"/>
        </w:rPr>
      </w:pPr>
      <w:r w:rsidRPr="00772F9F">
        <w:rPr>
          <w:rFonts w:cstheme="minorHAnsi"/>
        </w:rPr>
        <w:t>En futuras investigaci</w:t>
      </w:r>
      <w:r w:rsidR="00CF39F0">
        <w:rPr>
          <w:rFonts w:cstheme="minorHAnsi"/>
        </w:rPr>
        <w:t>ones</w:t>
      </w:r>
      <w:r w:rsidRPr="00772F9F">
        <w:rPr>
          <w:rFonts w:cstheme="minorHAnsi"/>
        </w:rPr>
        <w:t xml:space="preserve"> se intentará modelizar, a partir de casos simulados, las diferencias en la aplicación de los distintos métodos. Asimismo, investigaciones sobre la relevancia valorativa de los resultados generados por la conversión monetaria también represe</w:t>
      </w:r>
      <w:r>
        <w:rPr>
          <w:rFonts w:cstheme="minorHAnsi"/>
        </w:rPr>
        <w:t>n</w:t>
      </w:r>
      <w:r w:rsidRPr="00772F9F">
        <w:rPr>
          <w:rFonts w:cstheme="minorHAnsi"/>
        </w:rPr>
        <w:t>tan una oportunidad por sus implicancia</w:t>
      </w:r>
      <w:r>
        <w:rPr>
          <w:rFonts w:cstheme="minorHAnsi"/>
        </w:rPr>
        <w:t>s</w:t>
      </w:r>
      <w:r w:rsidRPr="00772F9F">
        <w:rPr>
          <w:rFonts w:cstheme="minorHAnsi"/>
        </w:rPr>
        <w:t xml:space="preserve"> en la teoría contable.</w:t>
      </w:r>
    </w:p>
    <w:p w14:paraId="7F618168" w14:textId="77777777" w:rsidR="00435ABD" w:rsidRDefault="00435ABD" w:rsidP="009E4CBC">
      <w:pPr>
        <w:spacing w:line="240" w:lineRule="auto"/>
        <w:ind w:firstLine="709"/>
        <w:jc w:val="both"/>
        <w:rPr>
          <w:rFonts w:cstheme="minorHAnsi"/>
        </w:rPr>
      </w:pPr>
    </w:p>
    <w:p w14:paraId="00B3C39A" w14:textId="77777777" w:rsidR="00EA14D3" w:rsidRPr="007351A1" w:rsidRDefault="00EA14D3" w:rsidP="009E4CBC">
      <w:pPr>
        <w:spacing w:line="240" w:lineRule="auto"/>
        <w:ind w:firstLine="709"/>
        <w:jc w:val="both"/>
        <w:rPr>
          <w:rFonts w:cstheme="minorHAnsi"/>
        </w:rPr>
      </w:pPr>
    </w:p>
    <w:p w14:paraId="74996A7D" w14:textId="77777777" w:rsidR="002907AC" w:rsidRPr="009E4CBC" w:rsidRDefault="002907AC" w:rsidP="009E4CBC">
      <w:pPr>
        <w:spacing w:line="240" w:lineRule="auto"/>
        <w:jc w:val="both"/>
        <w:rPr>
          <w:rFonts w:cstheme="minorHAnsi"/>
          <w:color w:val="FF0000"/>
        </w:rPr>
      </w:pPr>
    </w:p>
    <w:p w14:paraId="0B5C8456" w14:textId="77777777" w:rsidR="002907AC" w:rsidRPr="007351A1" w:rsidRDefault="002907AC" w:rsidP="009E4CBC">
      <w:pPr>
        <w:spacing w:line="240" w:lineRule="auto"/>
        <w:jc w:val="both"/>
        <w:rPr>
          <w:rFonts w:cstheme="minorHAnsi"/>
        </w:rPr>
      </w:pPr>
    </w:p>
    <w:p w14:paraId="740EEF2D" w14:textId="77777777" w:rsidR="002907AC" w:rsidRPr="007351A1" w:rsidRDefault="002907AC" w:rsidP="009E4CBC">
      <w:pPr>
        <w:spacing w:line="240" w:lineRule="auto"/>
        <w:jc w:val="both"/>
        <w:rPr>
          <w:rFonts w:cstheme="minorHAnsi"/>
        </w:rPr>
      </w:pPr>
    </w:p>
    <w:p w14:paraId="3EEA199B" w14:textId="77777777" w:rsidR="00705778" w:rsidRDefault="00705778">
      <w:pPr>
        <w:rPr>
          <w:rFonts w:cstheme="minorHAnsi"/>
          <w:b/>
          <w:bCs/>
        </w:rPr>
      </w:pPr>
      <w:r>
        <w:rPr>
          <w:rFonts w:cstheme="minorHAnsi"/>
          <w:b/>
          <w:bCs/>
        </w:rPr>
        <w:br w:type="page"/>
      </w:r>
    </w:p>
    <w:p w14:paraId="57C2938E" w14:textId="45894A09" w:rsidR="002907AC" w:rsidRPr="00B10C99" w:rsidRDefault="00934B9C" w:rsidP="00BC7F9A">
      <w:pPr>
        <w:spacing w:line="240" w:lineRule="auto"/>
        <w:rPr>
          <w:rFonts w:cstheme="minorHAnsi"/>
          <w:b/>
          <w:bCs/>
          <w:lang w:val="pt-BR"/>
        </w:rPr>
      </w:pPr>
      <w:r w:rsidRPr="00B10C99">
        <w:rPr>
          <w:rFonts w:cstheme="minorHAnsi"/>
          <w:b/>
          <w:bCs/>
          <w:lang w:val="pt-BR"/>
        </w:rPr>
        <w:lastRenderedPageBreak/>
        <w:t xml:space="preserve">REFERENCIAS BIBLIOGRAFICAS </w:t>
      </w:r>
    </w:p>
    <w:p w14:paraId="661252E9" w14:textId="35935413" w:rsidR="009E4CBC" w:rsidRDefault="009E4CBC" w:rsidP="009E4CBC">
      <w:pPr>
        <w:spacing w:line="240" w:lineRule="auto"/>
        <w:jc w:val="both"/>
        <w:rPr>
          <w:rFonts w:cstheme="minorHAnsi"/>
          <w:shd w:val="clear" w:color="auto" w:fill="FFFFFF"/>
        </w:rPr>
      </w:pPr>
      <w:r w:rsidRPr="00B10C99">
        <w:rPr>
          <w:rFonts w:cstheme="minorHAnsi"/>
          <w:shd w:val="clear" w:color="auto" w:fill="FFFFFF"/>
          <w:lang w:val="pt-BR"/>
        </w:rPr>
        <w:t xml:space="preserve">Arena, M. L. (2015). </w:t>
      </w:r>
      <w:r w:rsidRPr="009E4CBC">
        <w:rPr>
          <w:rFonts w:cstheme="minorHAnsi"/>
          <w:i/>
          <w:shd w:val="clear" w:color="auto" w:fill="FFFFFF"/>
        </w:rPr>
        <w:t>Procedimientos de conversión de estados contables ¿Una forma de alterar el resultado de una sociedad?</w:t>
      </w:r>
      <w:r w:rsidRPr="009E4CBC">
        <w:rPr>
          <w:rFonts w:cstheme="minorHAnsi"/>
          <w:shd w:val="clear" w:color="auto" w:fill="FFFFFF"/>
        </w:rPr>
        <w:t xml:space="preserve"> (Trabajo final Especialidad). Disponible en: </w:t>
      </w:r>
      <w:hyperlink r:id="rId6" w:history="1">
        <w:r w:rsidR="00220203" w:rsidRPr="004C3912">
          <w:rPr>
            <w:rStyle w:val="Hipervnculo"/>
            <w:rFonts w:cstheme="minorHAnsi"/>
            <w:shd w:val="clear" w:color="auto" w:fill="FFFFFF"/>
          </w:rPr>
          <w:t>http://hdl.handle.net/11086/4378</w:t>
        </w:r>
      </w:hyperlink>
      <w:r w:rsidR="00220203">
        <w:rPr>
          <w:rFonts w:cstheme="minorHAnsi"/>
          <w:shd w:val="clear" w:color="auto" w:fill="FFFFFF"/>
        </w:rPr>
        <w:t xml:space="preserve"> </w:t>
      </w:r>
      <w:r w:rsidRPr="009E4CBC">
        <w:rPr>
          <w:rFonts w:cstheme="minorHAnsi"/>
          <w:shd w:val="clear" w:color="auto" w:fill="FFFFFF"/>
        </w:rPr>
        <w:t xml:space="preserve"> </w:t>
      </w:r>
    </w:p>
    <w:p w14:paraId="54267070" w14:textId="3BB4091F" w:rsidR="00BA6A23" w:rsidRPr="00B10C99" w:rsidRDefault="00BA6A23" w:rsidP="009E4CBC">
      <w:pPr>
        <w:spacing w:line="240" w:lineRule="auto"/>
        <w:jc w:val="both"/>
        <w:rPr>
          <w:rFonts w:cstheme="minorHAnsi"/>
          <w:shd w:val="clear" w:color="auto" w:fill="FFFFFF"/>
        </w:rPr>
      </w:pPr>
      <w:r w:rsidRPr="00B10C99">
        <w:rPr>
          <w:rFonts w:cstheme="minorHAnsi"/>
          <w:shd w:val="clear" w:color="auto" w:fill="FFFFFF"/>
        </w:rPr>
        <w:t xml:space="preserve">Barbei, A. A.; </w:t>
      </w:r>
      <w:proofErr w:type="spellStart"/>
      <w:r w:rsidRPr="00B10C99">
        <w:rPr>
          <w:rFonts w:cstheme="minorHAnsi"/>
          <w:shd w:val="clear" w:color="auto" w:fill="FFFFFF"/>
        </w:rPr>
        <w:t>Macciomei</w:t>
      </w:r>
      <w:proofErr w:type="spellEnd"/>
      <w:r w:rsidRPr="00B10C99">
        <w:rPr>
          <w:rFonts w:cstheme="minorHAnsi"/>
          <w:shd w:val="clear" w:color="auto" w:fill="FFFFFF"/>
        </w:rPr>
        <w:t xml:space="preserve">, S. M. y </w:t>
      </w:r>
      <w:proofErr w:type="spellStart"/>
      <w:r w:rsidRPr="00B10C99">
        <w:rPr>
          <w:rFonts w:cstheme="minorHAnsi"/>
          <w:shd w:val="clear" w:color="auto" w:fill="FFFFFF"/>
        </w:rPr>
        <w:t>Perez</w:t>
      </w:r>
      <w:proofErr w:type="spellEnd"/>
      <w:r w:rsidRPr="00B10C99">
        <w:rPr>
          <w:rFonts w:cstheme="minorHAnsi"/>
          <w:shd w:val="clear" w:color="auto" w:fill="FFFFFF"/>
        </w:rPr>
        <w:t xml:space="preserve">, R. S. (2013). Consolidación de estados contables. En Ana María Campo (Comp.), </w:t>
      </w:r>
      <w:r w:rsidRPr="00B10C99">
        <w:rPr>
          <w:rFonts w:cstheme="minorHAnsi"/>
          <w:i/>
          <w:iCs/>
          <w:shd w:val="clear" w:color="auto" w:fill="FFFFFF"/>
        </w:rPr>
        <w:t>Contabilidad III</w:t>
      </w:r>
      <w:r w:rsidRPr="00B10C99">
        <w:rPr>
          <w:rFonts w:cstheme="minorHAnsi"/>
          <w:shd w:val="clear" w:color="auto" w:fill="FFFFFF"/>
        </w:rPr>
        <w:t xml:space="preserve"> (pp.50-78). EDULP</w:t>
      </w:r>
      <w:r w:rsidR="008735B7" w:rsidRPr="00B10C99">
        <w:rPr>
          <w:rFonts w:cstheme="minorHAnsi"/>
          <w:shd w:val="clear" w:color="auto" w:fill="FFFFFF"/>
        </w:rPr>
        <w:t xml:space="preserve">. Disponible en: </w:t>
      </w:r>
      <w:hyperlink r:id="rId7" w:history="1">
        <w:r w:rsidR="008735B7" w:rsidRPr="00B10C99">
          <w:rPr>
            <w:rStyle w:val="Hipervnculo"/>
            <w:rFonts w:cstheme="minorHAnsi"/>
            <w:shd w:val="clear" w:color="auto" w:fill="FFFFFF"/>
          </w:rPr>
          <w:t>http://sedici.unlp.edu.ar/handle/10915/30157</w:t>
        </w:r>
      </w:hyperlink>
    </w:p>
    <w:p w14:paraId="6C4AE1FB" w14:textId="1C2AF2BE" w:rsidR="002907AC" w:rsidRPr="00220203" w:rsidRDefault="002907AC" w:rsidP="009E4CBC">
      <w:pPr>
        <w:spacing w:line="240" w:lineRule="auto"/>
        <w:jc w:val="both"/>
        <w:rPr>
          <w:rFonts w:cstheme="minorHAnsi"/>
        </w:rPr>
      </w:pPr>
      <w:proofErr w:type="spellStart"/>
      <w:r w:rsidRPr="00B10C99">
        <w:rPr>
          <w:rFonts w:cstheme="minorHAnsi"/>
        </w:rPr>
        <w:t>Cayirli</w:t>
      </w:r>
      <w:proofErr w:type="spellEnd"/>
      <w:r w:rsidRPr="00B10C99">
        <w:rPr>
          <w:rFonts w:cstheme="minorHAnsi"/>
        </w:rPr>
        <w:t xml:space="preserve">, O. (2020). </w:t>
      </w:r>
      <w:r w:rsidRPr="009E4CBC">
        <w:rPr>
          <w:rFonts w:cstheme="minorHAnsi"/>
          <w:lang w:val="en-GB"/>
        </w:rPr>
        <w:t xml:space="preserve">IAS 21-The Effects of Changes in Foreign Exchange Rates: A Review of Concepts and Related Issues. </w:t>
      </w:r>
      <w:r w:rsidR="00220203" w:rsidRPr="00220203">
        <w:rPr>
          <w:rFonts w:cstheme="minorHAnsi"/>
        </w:rPr>
        <w:t>Disponibl</w:t>
      </w:r>
      <w:r w:rsidR="00220203">
        <w:rPr>
          <w:rFonts w:cstheme="minorHAnsi"/>
        </w:rPr>
        <w:t>e en</w:t>
      </w:r>
      <w:r w:rsidR="00BB4964" w:rsidRPr="00220203">
        <w:rPr>
          <w:rFonts w:cstheme="minorHAnsi"/>
        </w:rPr>
        <w:t xml:space="preserve">: </w:t>
      </w:r>
      <w:hyperlink r:id="rId8" w:history="1">
        <w:r w:rsidR="00220203" w:rsidRPr="00220203">
          <w:rPr>
            <w:rStyle w:val="Hipervnculo"/>
            <w:rFonts w:cstheme="minorHAnsi"/>
          </w:rPr>
          <w:t>https://papers.ssrn.com/sol3/papers.cfm?abstract_id=3519984</w:t>
        </w:r>
      </w:hyperlink>
      <w:r w:rsidR="00220203" w:rsidRPr="00220203">
        <w:rPr>
          <w:rFonts w:cstheme="minorHAnsi"/>
        </w:rPr>
        <w:t xml:space="preserve"> </w:t>
      </w:r>
    </w:p>
    <w:p w14:paraId="1E20CB7C" w14:textId="7A6CAA8D" w:rsidR="009E4CBC" w:rsidRPr="009E4CBC" w:rsidRDefault="008735B7" w:rsidP="009E4CBC">
      <w:pPr>
        <w:spacing w:line="240" w:lineRule="auto"/>
        <w:jc w:val="both"/>
        <w:rPr>
          <w:rFonts w:cstheme="minorHAnsi"/>
        </w:rPr>
      </w:pPr>
      <w:r>
        <w:rPr>
          <w:rFonts w:cstheme="minorHAnsi"/>
          <w:shd w:val="clear" w:color="auto" w:fill="FFFFFF"/>
        </w:rPr>
        <w:t>FACPCE</w:t>
      </w:r>
      <w:r w:rsidR="009E4CBC" w:rsidRPr="009E4CBC">
        <w:rPr>
          <w:rFonts w:cstheme="minorHAnsi"/>
          <w:shd w:val="clear" w:color="auto" w:fill="FFFFFF"/>
        </w:rPr>
        <w:t xml:space="preserve"> (1983). </w:t>
      </w:r>
      <w:r w:rsidR="009E4CBC" w:rsidRPr="009E4CBC">
        <w:rPr>
          <w:rFonts w:cstheme="minorHAnsi"/>
          <w:i/>
          <w:shd w:val="clear" w:color="auto" w:fill="FFFFFF"/>
        </w:rPr>
        <w:t xml:space="preserve">Estados contables en moneda homogénea. </w:t>
      </w:r>
      <w:r w:rsidR="009E4CBC" w:rsidRPr="009E4CBC">
        <w:rPr>
          <w:rFonts w:cstheme="minorHAnsi"/>
        </w:rPr>
        <w:t xml:space="preserve">(Resolución Técnica N° 6). Disponible en: </w:t>
      </w:r>
      <w:hyperlink r:id="rId9" w:history="1">
        <w:r w:rsidR="00220203" w:rsidRPr="004C3912">
          <w:rPr>
            <w:rStyle w:val="Hipervnculo"/>
            <w:rFonts w:cstheme="minorHAnsi"/>
          </w:rPr>
          <w:t>https://www.facpce.org.ar/</w:t>
        </w:r>
      </w:hyperlink>
      <w:r w:rsidR="00220203">
        <w:rPr>
          <w:rFonts w:cstheme="minorHAnsi"/>
        </w:rPr>
        <w:t xml:space="preserve"> </w:t>
      </w:r>
      <w:r w:rsidR="009E4CBC" w:rsidRPr="009E4CBC">
        <w:rPr>
          <w:rFonts w:cstheme="minorHAnsi"/>
        </w:rPr>
        <w:t xml:space="preserve"> </w:t>
      </w:r>
    </w:p>
    <w:p w14:paraId="6B2B23EB" w14:textId="35D7ED04" w:rsidR="009E4CBC" w:rsidRPr="009E4CBC" w:rsidRDefault="008735B7" w:rsidP="009E4CBC">
      <w:pPr>
        <w:spacing w:line="240" w:lineRule="auto"/>
        <w:jc w:val="both"/>
        <w:rPr>
          <w:rFonts w:cstheme="minorHAnsi"/>
        </w:rPr>
      </w:pPr>
      <w:r>
        <w:rPr>
          <w:rFonts w:cstheme="minorHAnsi"/>
          <w:shd w:val="clear" w:color="auto" w:fill="FFFFFF"/>
        </w:rPr>
        <w:t xml:space="preserve">FACPCE </w:t>
      </w:r>
      <w:r w:rsidR="009E4CBC" w:rsidRPr="009E4CBC">
        <w:rPr>
          <w:rFonts w:cstheme="minorHAnsi"/>
        </w:rPr>
        <w:t xml:space="preserve">(1996). </w:t>
      </w:r>
      <w:r w:rsidR="009E4CBC" w:rsidRPr="009E4CBC">
        <w:rPr>
          <w:rFonts w:cstheme="minorHAnsi"/>
          <w:i/>
          <w:iCs/>
        </w:rPr>
        <w:t>Conversiones de Estados Contables.</w:t>
      </w:r>
      <w:r w:rsidR="009E4CBC" w:rsidRPr="009E4CBC">
        <w:rPr>
          <w:rFonts w:cstheme="minorHAnsi"/>
        </w:rPr>
        <w:t xml:space="preserve"> (Resolución Técnica N° 13). Disponible en: </w:t>
      </w:r>
      <w:hyperlink r:id="rId10" w:history="1">
        <w:r w:rsidR="00220203" w:rsidRPr="004C3912">
          <w:rPr>
            <w:rStyle w:val="Hipervnculo"/>
            <w:rFonts w:cstheme="minorHAnsi"/>
          </w:rPr>
          <w:t>https://consejo.org.ar/herramientas-profesionales/normas-profesionales/contabilidad/</w:t>
        </w:r>
      </w:hyperlink>
      <w:r w:rsidR="00220203">
        <w:rPr>
          <w:rFonts w:cstheme="minorHAnsi"/>
        </w:rPr>
        <w:t xml:space="preserve"> </w:t>
      </w:r>
      <w:r w:rsidR="009E4CBC" w:rsidRPr="009E4CBC">
        <w:rPr>
          <w:rFonts w:cstheme="minorHAnsi"/>
        </w:rPr>
        <w:t xml:space="preserve"> </w:t>
      </w:r>
    </w:p>
    <w:p w14:paraId="710DE056" w14:textId="37AC8DCB" w:rsidR="009E4CBC" w:rsidRPr="009E4CBC" w:rsidRDefault="008735B7" w:rsidP="009E4CBC">
      <w:pPr>
        <w:spacing w:line="240" w:lineRule="auto"/>
        <w:jc w:val="both"/>
        <w:rPr>
          <w:rFonts w:cstheme="minorHAnsi"/>
        </w:rPr>
      </w:pPr>
      <w:r>
        <w:rPr>
          <w:rFonts w:cstheme="minorHAnsi"/>
          <w:shd w:val="clear" w:color="auto" w:fill="FFFFFF"/>
        </w:rPr>
        <w:t>FACPCE</w:t>
      </w:r>
      <w:r w:rsidR="009E4CBC" w:rsidRPr="009E4CBC">
        <w:rPr>
          <w:rFonts w:cstheme="minorHAnsi"/>
          <w:shd w:val="clear" w:color="auto" w:fill="FFFFFF"/>
        </w:rPr>
        <w:t xml:space="preserve"> (2000</w:t>
      </w:r>
      <w:r>
        <w:rPr>
          <w:rFonts w:cstheme="minorHAnsi"/>
          <w:shd w:val="clear" w:color="auto" w:fill="FFFFFF"/>
        </w:rPr>
        <w:t>a</w:t>
      </w:r>
      <w:r w:rsidR="009E4CBC" w:rsidRPr="009E4CBC">
        <w:rPr>
          <w:rFonts w:cstheme="minorHAnsi"/>
          <w:shd w:val="clear" w:color="auto" w:fill="FFFFFF"/>
        </w:rPr>
        <w:t xml:space="preserve">). </w:t>
      </w:r>
      <w:r w:rsidR="009E4CBC" w:rsidRPr="009E4CBC">
        <w:rPr>
          <w:rFonts w:cstheme="minorHAnsi"/>
          <w:i/>
          <w:shd w:val="clear" w:color="auto" w:fill="FFFFFF"/>
        </w:rPr>
        <w:t xml:space="preserve">Normas contables profesionales: desarrollo de cuestiones de aplicación general. </w:t>
      </w:r>
      <w:r w:rsidR="009E4CBC" w:rsidRPr="009E4CBC">
        <w:rPr>
          <w:rFonts w:cstheme="minorHAnsi"/>
        </w:rPr>
        <w:t xml:space="preserve">(Resolución Técnica N° 17). Disponible en: </w:t>
      </w:r>
      <w:hyperlink r:id="rId11" w:history="1">
        <w:r w:rsidR="00220203" w:rsidRPr="004C3912">
          <w:rPr>
            <w:rStyle w:val="Hipervnculo"/>
            <w:rFonts w:cstheme="minorHAnsi"/>
          </w:rPr>
          <w:t>https://www.facpce.org.ar/</w:t>
        </w:r>
      </w:hyperlink>
      <w:r w:rsidR="00220203">
        <w:rPr>
          <w:rFonts w:cstheme="minorHAnsi"/>
        </w:rPr>
        <w:t xml:space="preserve"> </w:t>
      </w:r>
      <w:r w:rsidR="009E4CBC" w:rsidRPr="009E4CBC">
        <w:rPr>
          <w:rFonts w:cstheme="minorHAnsi"/>
        </w:rPr>
        <w:t xml:space="preserve"> </w:t>
      </w:r>
    </w:p>
    <w:p w14:paraId="3C6427B9" w14:textId="71C86854" w:rsidR="009E4CBC" w:rsidRPr="00BA4EAC" w:rsidRDefault="008735B7" w:rsidP="009E4CBC">
      <w:pPr>
        <w:spacing w:line="240" w:lineRule="auto"/>
        <w:jc w:val="both"/>
        <w:rPr>
          <w:rFonts w:cstheme="minorHAnsi"/>
          <w:lang w:val="es-ES"/>
        </w:rPr>
      </w:pPr>
      <w:r>
        <w:rPr>
          <w:rFonts w:cstheme="minorHAnsi"/>
          <w:shd w:val="clear" w:color="auto" w:fill="FFFFFF"/>
        </w:rPr>
        <w:t xml:space="preserve">FACPCE </w:t>
      </w:r>
      <w:r w:rsidR="009E4CBC" w:rsidRPr="009E4CBC">
        <w:rPr>
          <w:rFonts w:cstheme="minorHAnsi"/>
          <w:shd w:val="clear" w:color="auto" w:fill="FFFFFF"/>
        </w:rPr>
        <w:t>(2000</w:t>
      </w:r>
      <w:r>
        <w:rPr>
          <w:rFonts w:cstheme="minorHAnsi"/>
          <w:shd w:val="clear" w:color="auto" w:fill="FFFFFF"/>
        </w:rPr>
        <w:t>b</w:t>
      </w:r>
      <w:r w:rsidR="009E4CBC" w:rsidRPr="009E4CBC">
        <w:rPr>
          <w:rFonts w:cstheme="minorHAnsi"/>
          <w:shd w:val="clear" w:color="auto" w:fill="FFFFFF"/>
        </w:rPr>
        <w:t xml:space="preserve">). </w:t>
      </w:r>
      <w:r w:rsidR="009E4CBC" w:rsidRPr="009E4CBC">
        <w:rPr>
          <w:rFonts w:cstheme="minorHAnsi"/>
          <w:i/>
          <w:shd w:val="clear" w:color="auto" w:fill="FFFFFF"/>
        </w:rPr>
        <w:t xml:space="preserve">Normas contables profesionales: desarrollo de algunas cuestiones de aplicación particular. </w:t>
      </w:r>
      <w:r w:rsidR="009E4CBC" w:rsidRPr="009E4CBC">
        <w:rPr>
          <w:rFonts w:cstheme="minorHAnsi"/>
        </w:rPr>
        <w:t xml:space="preserve">(Resolución Técnica N° 18). </w:t>
      </w:r>
      <w:r w:rsidR="009E4CBC" w:rsidRPr="00BA4EAC">
        <w:rPr>
          <w:rFonts w:cstheme="minorHAnsi"/>
          <w:lang w:val="es-ES"/>
        </w:rPr>
        <w:t xml:space="preserve">Disponible en: </w:t>
      </w:r>
      <w:hyperlink r:id="rId12" w:history="1">
        <w:r w:rsidR="00220203" w:rsidRPr="00BA4EAC">
          <w:rPr>
            <w:rStyle w:val="Hipervnculo"/>
            <w:rFonts w:cstheme="minorHAnsi"/>
            <w:lang w:val="es-ES"/>
          </w:rPr>
          <w:t>https://www.facpce.org.ar/</w:t>
        </w:r>
      </w:hyperlink>
      <w:r w:rsidR="00220203" w:rsidRPr="00BA4EAC">
        <w:rPr>
          <w:rFonts w:cstheme="minorHAnsi"/>
          <w:lang w:val="es-ES"/>
        </w:rPr>
        <w:t xml:space="preserve"> </w:t>
      </w:r>
      <w:r w:rsidR="009E4CBC" w:rsidRPr="00BA4EAC">
        <w:rPr>
          <w:rFonts w:cstheme="minorHAnsi"/>
          <w:lang w:val="es-ES"/>
        </w:rPr>
        <w:t xml:space="preserve"> </w:t>
      </w:r>
    </w:p>
    <w:p w14:paraId="475889B3" w14:textId="30575893" w:rsidR="009E4CBC" w:rsidRPr="009E4CBC" w:rsidRDefault="00F1094F" w:rsidP="009E4CBC">
      <w:pPr>
        <w:spacing w:line="240" w:lineRule="auto"/>
        <w:jc w:val="both"/>
        <w:rPr>
          <w:rFonts w:cstheme="minorHAnsi"/>
          <w:lang w:val="en-US"/>
        </w:rPr>
      </w:pPr>
      <w:r>
        <w:rPr>
          <w:rFonts w:cstheme="minorHAnsi"/>
          <w:lang w:val="en-US"/>
        </w:rPr>
        <w:t>FASB</w:t>
      </w:r>
      <w:r w:rsidR="009E4CBC" w:rsidRPr="009E4CBC">
        <w:rPr>
          <w:rFonts w:cstheme="minorHAnsi"/>
          <w:lang w:val="en-US"/>
        </w:rPr>
        <w:t xml:space="preserve"> (1975). </w:t>
      </w:r>
      <w:r w:rsidR="009E4CBC" w:rsidRPr="009E4CBC">
        <w:rPr>
          <w:rFonts w:cstheme="minorHAnsi"/>
          <w:i/>
          <w:iCs/>
          <w:lang w:val="en-US"/>
        </w:rPr>
        <w:t>Accounting for the Translation of Foreign Currency Transactions and Foreign Currency Financial</w:t>
      </w:r>
      <w:r w:rsidR="009E4CBC" w:rsidRPr="009E4CBC">
        <w:rPr>
          <w:rFonts w:cstheme="minorHAnsi"/>
          <w:lang w:val="en-US"/>
        </w:rPr>
        <w:t xml:space="preserve"> (Statements Statement of Financial Accounting Standards No. 8). Disponible </w:t>
      </w:r>
      <w:proofErr w:type="spellStart"/>
      <w:r w:rsidR="009E4CBC" w:rsidRPr="009E4CBC">
        <w:rPr>
          <w:rFonts w:cstheme="minorHAnsi"/>
          <w:lang w:val="en-US"/>
        </w:rPr>
        <w:t>en</w:t>
      </w:r>
      <w:proofErr w:type="spellEnd"/>
      <w:r w:rsidR="009E4CBC" w:rsidRPr="009E4CBC">
        <w:rPr>
          <w:rFonts w:cstheme="minorHAnsi"/>
          <w:lang w:val="en-US"/>
        </w:rPr>
        <w:t xml:space="preserve">: </w:t>
      </w:r>
      <w:hyperlink r:id="rId13" w:history="1">
        <w:r w:rsidR="00220203" w:rsidRPr="004C3912">
          <w:rPr>
            <w:rStyle w:val="Hipervnculo"/>
            <w:rFonts w:cstheme="minorHAnsi"/>
            <w:lang w:val="en-US"/>
          </w:rPr>
          <w:t>https://www.fasb.org/</w:t>
        </w:r>
      </w:hyperlink>
      <w:r w:rsidR="00220203">
        <w:rPr>
          <w:rFonts w:cstheme="minorHAnsi"/>
          <w:lang w:val="en-US"/>
        </w:rPr>
        <w:t xml:space="preserve"> </w:t>
      </w:r>
      <w:r w:rsidR="009E4CBC" w:rsidRPr="009E4CBC">
        <w:rPr>
          <w:rFonts w:cstheme="minorHAnsi"/>
          <w:lang w:val="en-US"/>
        </w:rPr>
        <w:t xml:space="preserve"> </w:t>
      </w:r>
    </w:p>
    <w:p w14:paraId="2AA7735E" w14:textId="51DDB3AA" w:rsidR="009E4CBC" w:rsidRPr="009E4CBC" w:rsidRDefault="00F1094F" w:rsidP="009E4CBC">
      <w:pPr>
        <w:spacing w:line="240" w:lineRule="auto"/>
        <w:jc w:val="both"/>
        <w:rPr>
          <w:rFonts w:cstheme="minorHAnsi"/>
          <w:lang w:val="en-US"/>
        </w:rPr>
      </w:pPr>
      <w:r>
        <w:rPr>
          <w:rFonts w:cstheme="minorHAnsi"/>
          <w:lang w:val="en-US"/>
        </w:rPr>
        <w:t>FASB</w:t>
      </w:r>
      <w:r w:rsidR="009E4CBC" w:rsidRPr="009E4CBC">
        <w:rPr>
          <w:rFonts w:cstheme="minorHAnsi"/>
          <w:lang w:val="en-US"/>
        </w:rPr>
        <w:t xml:space="preserve"> (1981). </w:t>
      </w:r>
      <w:r w:rsidR="009E4CBC" w:rsidRPr="009E4CBC">
        <w:rPr>
          <w:rFonts w:cstheme="minorHAnsi"/>
          <w:i/>
          <w:iCs/>
          <w:lang w:val="en-US"/>
        </w:rPr>
        <w:t>Foreign Currency Translation</w:t>
      </w:r>
      <w:r w:rsidR="009E4CBC" w:rsidRPr="009E4CBC">
        <w:rPr>
          <w:rFonts w:cstheme="minorHAnsi"/>
          <w:lang w:val="en-US"/>
        </w:rPr>
        <w:t xml:space="preserve"> (Statements Statement of Financial Accounting Standards No. 52). Disponible </w:t>
      </w:r>
      <w:proofErr w:type="spellStart"/>
      <w:r w:rsidR="009E4CBC" w:rsidRPr="009E4CBC">
        <w:rPr>
          <w:rFonts w:cstheme="minorHAnsi"/>
          <w:lang w:val="en-US"/>
        </w:rPr>
        <w:t>en</w:t>
      </w:r>
      <w:proofErr w:type="spellEnd"/>
      <w:r w:rsidR="009E4CBC" w:rsidRPr="009E4CBC">
        <w:rPr>
          <w:rFonts w:cstheme="minorHAnsi"/>
          <w:lang w:val="en-US"/>
        </w:rPr>
        <w:t xml:space="preserve">: </w:t>
      </w:r>
      <w:hyperlink r:id="rId14" w:history="1">
        <w:r w:rsidR="00220203" w:rsidRPr="004C3912">
          <w:rPr>
            <w:rStyle w:val="Hipervnculo"/>
            <w:rFonts w:cstheme="minorHAnsi"/>
            <w:lang w:val="en-US"/>
          </w:rPr>
          <w:t>https://www.fasb.org/</w:t>
        </w:r>
      </w:hyperlink>
      <w:r w:rsidR="00220203">
        <w:rPr>
          <w:rFonts w:cstheme="minorHAnsi"/>
          <w:lang w:val="en-US"/>
        </w:rPr>
        <w:t xml:space="preserve"> </w:t>
      </w:r>
    </w:p>
    <w:p w14:paraId="7501A0BB" w14:textId="414252A8" w:rsidR="009E4CBC" w:rsidRPr="009E4CBC" w:rsidRDefault="00F1094F" w:rsidP="009E4CBC">
      <w:pPr>
        <w:spacing w:line="240" w:lineRule="auto"/>
        <w:jc w:val="both"/>
        <w:rPr>
          <w:rFonts w:cstheme="minorHAnsi"/>
          <w:lang w:val="en-US"/>
        </w:rPr>
      </w:pPr>
      <w:r>
        <w:rPr>
          <w:rFonts w:cstheme="minorHAnsi"/>
          <w:lang w:val="en-US"/>
        </w:rPr>
        <w:t>FASB</w:t>
      </w:r>
      <w:r w:rsidRPr="009E4CBC">
        <w:rPr>
          <w:rFonts w:cstheme="minorHAnsi"/>
          <w:lang w:val="en-US"/>
        </w:rPr>
        <w:t xml:space="preserve"> </w:t>
      </w:r>
      <w:r w:rsidR="009E4CBC" w:rsidRPr="009E4CBC">
        <w:rPr>
          <w:rFonts w:cstheme="minorHAnsi"/>
          <w:lang w:val="en-US"/>
        </w:rPr>
        <w:t xml:space="preserve">(2010). </w:t>
      </w:r>
      <w:r w:rsidR="009E4CBC" w:rsidRPr="009E4CBC">
        <w:rPr>
          <w:rFonts w:cstheme="minorHAnsi"/>
          <w:i/>
          <w:iCs/>
          <w:lang w:val="en-US"/>
        </w:rPr>
        <w:t>Foreign Currency Issues: Multiple Foreign Currency Exchange Rates</w:t>
      </w:r>
      <w:r w:rsidR="009E4CBC" w:rsidRPr="009E4CBC">
        <w:rPr>
          <w:rFonts w:cstheme="minorHAnsi"/>
          <w:lang w:val="en-US"/>
        </w:rPr>
        <w:t xml:space="preserve"> (Accounting Standards Update Foreign Currency Topic 830). Disponible </w:t>
      </w:r>
      <w:proofErr w:type="spellStart"/>
      <w:r w:rsidR="009E4CBC" w:rsidRPr="009E4CBC">
        <w:rPr>
          <w:rFonts w:cstheme="minorHAnsi"/>
          <w:lang w:val="en-US"/>
        </w:rPr>
        <w:t>en</w:t>
      </w:r>
      <w:proofErr w:type="spellEnd"/>
      <w:r w:rsidR="009E4CBC" w:rsidRPr="009E4CBC">
        <w:rPr>
          <w:rFonts w:cstheme="minorHAnsi"/>
          <w:lang w:val="en-US"/>
        </w:rPr>
        <w:t xml:space="preserve">: </w:t>
      </w:r>
      <w:hyperlink r:id="rId15" w:history="1">
        <w:r w:rsidR="00220203" w:rsidRPr="004C3912">
          <w:rPr>
            <w:rStyle w:val="Hipervnculo"/>
            <w:rFonts w:cstheme="minorHAnsi"/>
            <w:lang w:val="en-US"/>
          </w:rPr>
          <w:t>https://www.fasb.org/</w:t>
        </w:r>
      </w:hyperlink>
      <w:r w:rsidR="00220203">
        <w:rPr>
          <w:rFonts w:cstheme="minorHAnsi"/>
          <w:lang w:val="en-US"/>
        </w:rPr>
        <w:t xml:space="preserve"> </w:t>
      </w:r>
    </w:p>
    <w:p w14:paraId="5A801FFE" w14:textId="2869BEF7" w:rsidR="009E4CBC" w:rsidRPr="00BA4EAC" w:rsidRDefault="00F1094F" w:rsidP="009E4CBC">
      <w:pPr>
        <w:spacing w:line="240" w:lineRule="auto"/>
        <w:jc w:val="both"/>
        <w:rPr>
          <w:rFonts w:cstheme="minorHAnsi"/>
          <w:lang w:val="en-US"/>
        </w:rPr>
      </w:pPr>
      <w:r>
        <w:rPr>
          <w:rFonts w:cstheme="minorHAnsi"/>
          <w:lang w:val="en-US"/>
        </w:rPr>
        <w:t>FASB</w:t>
      </w:r>
      <w:r w:rsidR="00B47085">
        <w:rPr>
          <w:rFonts w:cstheme="minorHAnsi"/>
          <w:lang w:val="en-US"/>
        </w:rPr>
        <w:t xml:space="preserve"> </w:t>
      </w:r>
      <w:r w:rsidR="009E4CBC" w:rsidRPr="009E4CBC">
        <w:rPr>
          <w:rFonts w:cstheme="minorHAnsi"/>
          <w:lang w:val="en-US"/>
        </w:rPr>
        <w:t xml:space="preserve">(2013). </w:t>
      </w:r>
      <w:r w:rsidR="009E4CBC" w:rsidRPr="009E4CBC">
        <w:rPr>
          <w:rFonts w:cstheme="minorHAnsi"/>
          <w:i/>
          <w:iCs/>
          <w:lang w:val="en-US"/>
        </w:rPr>
        <w:t xml:space="preserve">Parent’s Accounting for the Cumulative Translation Adjustment upon Derecognition of Certain Subsidiaries or Groups of Assets within a Foreign Entity or of an Investment in a Foreign Entity </w:t>
      </w:r>
      <w:r w:rsidR="009E4CBC" w:rsidRPr="009E4CBC">
        <w:rPr>
          <w:rFonts w:cstheme="minorHAnsi"/>
          <w:lang w:val="en-US"/>
        </w:rPr>
        <w:t xml:space="preserve">(Accounting Standards Update Foreign Currency Matters Topic 830). </w:t>
      </w:r>
      <w:r w:rsidR="009E4CBC" w:rsidRPr="00BA4EAC">
        <w:rPr>
          <w:rFonts w:cstheme="minorHAnsi"/>
          <w:lang w:val="en-US"/>
        </w:rPr>
        <w:t xml:space="preserve">Disponible </w:t>
      </w:r>
      <w:proofErr w:type="spellStart"/>
      <w:r w:rsidR="009E4CBC" w:rsidRPr="00BA4EAC">
        <w:rPr>
          <w:rFonts w:cstheme="minorHAnsi"/>
          <w:lang w:val="en-US"/>
        </w:rPr>
        <w:t>en</w:t>
      </w:r>
      <w:proofErr w:type="spellEnd"/>
      <w:r w:rsidR="009E4CBC" w:rsidRPr="00BA4EAC">
        <w:rPr>
          <w:rFonts w:cstheme="minorHAnsi"/>
          <w:lang w:val="en-US"/>
        </w:rPr>
        <w:t xml:space="preserve">: </w:t>
      </w:r>
      <w:hyperlink r:id="rId16" w:history="1">
        <w:r w:rsidR="00220203" w:rsidRPr="00BA4EAC">
          <w:rPr>
            <w:rStyle w:val="Hipervnculo"/>
            <w:rFonts w:cstheme="minorHAnsi"/>
            <w:lang w:val="en-US"/>
          </w:rPr>
          <w:t>https://www.fasb.org/</w:t>
        </w:r>
      </w:hyperlink>
      <w:r w:rsidR="00220203" w:rsidRPr="00BA4EAC">
        <w:rPr>
          <w:rFonts w:cstheme="minorHAnsi"/>
          <w:lang w:val="en-US"/>
        </w:rPr>
        <w:t xml:space="preserve"> </w:t>
      </w:r>
    </w:p>
    <w:p w14:paraId="0C73C2F2" w14:textId="77777777" w:rsidR="009E4CBC" w:rsidRPr="00BA4EAC" w:rsidRDefault="009E4CBC" w:rsidP="009E4CBC">
      <w:pPr>
        <w:spacing w:line="240" w:lineRule="auto"/>
        <w:jc w:val="both"/>
        <w:rPr>
          <w:rFonts w:cstheme="minorHAnsi"/>
          <w:shd w:val="clear" w:color="auto" w:fill="FFFFFF"/>
          <w:lang w:val="en-US"/>
        </w:rPr>
      </w:pPr>
      <w:r w:rsidRPr="009E4CBC">
        <w:rPr>
          <w:rFonts w:cstheme="minorHAnsi"/>
          <w:shd w:val="clear" w:color="auto" w:fill="FFFFFF"/>
          <w:lang w:val="en-GB"/>
        </w:rPr>
        <w:t>Flood, J. M. (2012). </w:t>
      </w:r>
      <w:r w:rsidRPr="009E4CBC">
        <w:rPr>
          <w:rFonts w:cstheme="minorHAnsi"/>
          <w:i/>
          <w:iCs/>
          <w:shd w:val="clear" w:color="auto" w:fill="FFFFFF"/>
          <w:lang w:val="en-US"/>
        </w:rPr>
        <w:t>Wiley GAAP 2019: Interpretation and application of generally accepted accounting principles</w:t>
      </w:r>
      <w:r w:rsidRPr="009E4CBC">
        <w:rPr>
          <w:rFonts w:cstheme="minorHAnsi"/>
          <w:shd w:val="clear" w:color="auto" w:fill="FFFFFF"/>
          <w:lang w:val="en-US"/>
        </w:rPr>
        <w:t xml:space="preserve">. </w:t>
      </w:r>
      <w:r w:rsidRPr="00BA4EAC">
        <w:rPr>
          <w:rFonts w:cstheme="minorHAnsi"/>
          <w:shd w:val="clear" w:color="auto" w:fill="FFFFFF"/>
          <w:lang w:val="en-US"/>
        </w:rPr>
        <w:t>New Jersey: John Wiley &amp; Sons.</w:t>
      </w:r>
    </w:p>
    <w:p w14:paraId="29F97075" w14:textId="0B6516F7" w:rsidR="009E4CBC" w:rsidRPr="009E4CBC" w:rsidRDefault="009E4CBC" w:rsidP="009E4CBC">
      <w:pPr>
        <w:spacing w:after="0" w:line="240" w:lineRule="auto"/>
        <w:jc w:val="both"/>
        <w:rPr>
          <w:rFonts w:cstheme="minorHAnsi"/>
          <w:shd w:val="clear" w:color="auto" w:fill="FFFFFF"/>
        </w:rPr>
      </w:pPr>
      <w:r w:rsidRPr="006A0A6E">
        <w:rPr>
          <w:rFonts w:cstheme="minorHAnsi"/>
          <w:shd w:val="clear" w:color="auto" w:fill="FFFFFF"/>
          <w:lang w:val="en-US"/>
        </w:rPr>
        <w:t>Fowler Newton, E. (1993).</w:t>
      </w:r>
      <w:r w:rsidR="00AD7BB9" w:rsidRPr="00B10C99">
        <w:rPr>
          <w:rFonts w:cstheme="minorHAnsi"/>
          <w:shd w:val="clear" w:color="auto" w:fill="FFFFFF"/>
          <w:lang w:val="en-US"/>
        </w:rPr>
        <w:t xml:space="preserve"> </w:t>
      </w:r>
      <w:proofErr w:type="spellStart"/>
      <w:r w:rsidRPr="00B10C99">
        <w:rPr>
          <w:rFonts w:cstheme="minorHAnsi"/>
          <w:i/>
          <w:shd w:val="clear" w:color="auto" w:fill="FFFFFF"/>
          <w:lang w:val="en-US"/>
        </w:rPr>
        <w:t>Contabilidad</w:t>
      </w:r>
      <w:proofErr w:type="spellEnd"/>
      <w:r w:rsidRPr="00B10C99">
        <w:rPr>
          <w:rFonts w:cstheme="minorHAnsi"/>
          <w:i/>
          <w:shd w:val="clear" w:color="auto" w:fill="FFFFFF"/>
          <w:lang w:val="en-US"/>
        </w:rPr>
        <w:t xml:space="preserve"> superior</w:t>
      </w:r>
      <w:r w:rsidRPr="00B10C99">
        <w:rPr>
          <w:rFonts w:cstheme="minorHAnsi"/>
          <w:shd w:val="clear" w:color="auto" w:fill="FFFFFF"/>
          <w:lang w:val="en-US"/>
        </w:rPr>
        <w:t xml:space="preserve">. </w:t>
      </w:r>
      <w:r w:rsidRPr="009E4CBC">
        <w:rPr>
          <w:rFonts w:cstheme="minorHAnsi"/>
          <w:shd w:val="clear" w:color="auto" w:fill="FFFFFF"/>
        </w:rPr>
        <w:t xml:space="preserve">Buenos Aires, Argentina: </w:t>
      </w:r>
      <w:r w:rsidR="00AD7BB9">
        <w:rPr>
          <w:rFonts w:cstheme="minorHAnsi"/>
          <w:shd w:val="clear" w:color="auto" w:fill="FFFFFF"/>
        </w:rPr>
        <w:t>Ediciones Macchi.</w:t>
      </w:r>
    </w:p>
    <w:p w14:paraId="615C126B" w14:textId="77777777" w:rsidR="009E4CBC" w:rsidRPr="009E4CBC" w:rsidRDefault="009E4CBC" w:rsidP="009E4CBC">
      <w:pPr>
        <w:spacing w:after="0" w:line="240" w:lineRule="auto"/>
        <w:jc w:val="both"/>
        <w:rPr>
          <w:rFonts w:cstheme="minorHAnsi"/>
          <w:shd w:val="clear" w:color="auto" w:fill="FFFFFF"/>
        </w:rPr>
      </w:pPr>
    </w:p>
    <w:p w14:paraId="191A64FD" w14:textId="58E23B55" w:rsidR="00220203" w:rsidRDefault="002907AC" w:rsidP="009E4CBC">
      <w:pPr>
        <w:spacing w:line="240" w:lineRule="auto"/>
        <w:jc w:val="both"/>
        <w:rPr>
          <w:rFonts w:cstheme="minorHAnsi"/>
          <w:shd w:val="clear" w:color="auto" w:fill="FFFFFF"/>
        </w:rPr>
      </w:pPr>
      <w:r w:rsidRPr="009E4CBC">
        <w:rPr>
          <w:rFonts w:cstheme="minorHAnsi"/>
          <w:shd w:val="clear" w:color="auto" w:fill="FFFFFF"/>
        </w:rPr>
        <w:t>Fowler Newton, E. (2010). </w:t>
      </w:r>
      <w:r w:rsidRPr="009E4CBC">
        <w:rPr>
          <w:rFonts w:cstheme="minorHAnsi"/>
          <w:i/>
          <w:iCs/>
          <w:shd w:val="clear" w:color="auto" w:fill="FFFFFF"/>
        </w:rPr>
        <w:t>Contabilidad superior</w:t>
      </w:r>
      <w:r w:rsidRPr="009E4CBC">
        <w:rPr>
          <w:rFonts w:cstheme="minorHAnsi"/>
          <w:shd w:val="clear" w:color="auto" w:fill="FFFFFF"/>
        </w:rPr>
        <w:t>. Buenos Aires, Argentina: La Ley.</w:t>
      </w:r>
    </w:p>
    <w:p w14:paraId="5FE0245D" w14:textId="79CE12B7" w:rsidR="00AD7BB9" w:rsidRPr="00B10C99" w:rsidRDefault="00AD7BB9" w:rsidP="00AD7BB9">
      <w:pPr>
        <w:spacing w:line="240" w:lineRule="auto"/>
        <w:jc w:val="both"/>
        <w:rPr>
          <w:rFonts w:cstheme="minorHAnsi"/>
        </w:rPr>
      </w:pPr>
      <w:r>
        <w:rPr>
          <w:rFonts w:cstheme="minorHAnsi"/>
        </w:rPr>
        <w:t>IASB</w:t>
      </w:r>
      <w:r w:rsidRPr="009E4CBC">
        <w:rPr>
          <w:rFonts w:cstheme="minorHAnsi"/>
        </w:rPr>
        <w:t xml:space="preserve"> (</w:t>
      </w:r>
      <w:r>
        <w:rPr>
          <w:rFonts w:cstheme="minorHAnsi"/>
        </w:rPr>
        <w:t>1989</w:t>
      </w:r>
      <w:r w:rsidRPr="009E4CBC">
        <w:rPr>
          <w:rFonts w:cstheme="minorHAnsi"/>
        </w:rPr>
        <w:t xml:space="preserve">). </w:t>
      </w:r>
      <w:r w:rsidRPr="00BC7F9A">
        <w:rPr>
          <w:rFonts w:cstheme="minorHAnsi"/>
          <w:i/>
          <w:iCs/>
        </w:rPr>
        <w:t xml:space="preserve">NIC 29, </w:t>
      </w:r>
      <w:r w:rsidRPr="00AD7BB9">
        <w:rPr>
          <w:rFonts w:cstheme="minorHAnsi"/>
          <w:i/>
          <w:iCs/>
        </w:rPr>
        <w:t>Información</w:t>
      </w:r>
      <w:r w:rsidRPr="009E4CBC">
        <w:rPr>
          <w:rFonts w:cstheme="minorHAnsi"/>
          <w:i/>
          <w:iCs/>
        </w:rPr>
        <w:t xml:space="preserve"> Financiera en Economías Hiperinflacionarias</w:t>
      </w:r>
      <w:r>
        <w:rPr>
          <w:rFonts w:cstheme="minorHAnsi"/>
          <w:i/>
          <w:iCs/>
        </w:rPr>
        <w:t xml:space="preserve">. </w:t>
      </w:r>
      <w:r w:rsidRPr="00BC7F9A">
        <w:rPr>
          <w:rFonts w:cstheme="minorHAnsi"/>
        </w:rPr>
        <w:t>Disponible en</w:t>
      </w:r>
      <w:r>
        <w:rPr>
          <w:rFonts w:cstheme="minorHAnsi"/>
        </w:rPr>
        <w:t>:</w:t>
      </w:r>
      <w:r w:rsidRPr="009E4CBC">
        <w:rPr>
          <w:rFonts w:cstheme="minorHAnsi"/>
        </w:rPr>
        <w:t xml:space="preserve"> </w:t>
      </w:r>
      <w:hyperlink r:id="rId17" w:history="1">
        <w:r w:rsidRPr="00B10C99">
          <w:rPr>
            <w:rStyle w:val="Hipervnculo"/>
            <w:rFonts w:cstheme="minorHAnsi"/>
          </w:rPr>
          <w:t>https://www.ifrs.org/</w:t>
        </w:r>
      </w:hyperlink>
      <w:r w:rsidRPr="00B10C99">
        <w:rPr>
          <w:rFonts w:cstheme="minorHAnsi"/>
        </w:rPr>
        <w:t xml:space="preserve"> </w:t>
      </w:r>
    </w:p>
    <w:p w14:paraId="2BE92101" w14:textId="7BCFCB97" w:rsidR="007611B9" w:rsidRDefault="00AD7BB9" w:rsidP="009E4CBC">
      <w:pPr>
        <w:spacing w:line="240" w:lineRule="auto"/>
        <w:jc w:val="both"/>
        <w:rPr>
          <w:rFonts w:cstheme="minorHAnsi"/>
        </w:rPr>
      </w:pPr>
      <w:r>
        <w:rPr>
          <w:rFonts w:cstheme="minorHAnsi"/>
        </w:rPr>
        <w:t>IASB</w:t>
      </w:r>
      <w:r w:rsidR="007611B9" w:rsidRPr="009E4CBC">
        <w:rPr>
          <w:rFonts w:cstheme="minorHAnsi"/>
        </w:rPr>
        <w:t xml:space="preserve"> (200</w:t>
      </w:r>
      <w:r w:rsidR="00BB4964" w:rsidRPr="009E4CBC">
        <w:rPr>
          <w:rFonts w:cstheme="minorHAnsi"/>
        </w:rPr>
        <w:t>3</w:t>
      </w:r>
      <w:r w:rsidR="007611B9" w:rsidRPr="009E4CBC">
        <w:rPr>
          <w:rFonts w:cstheme="minorHAnsi"/>
        </w:rPr>
        <w:t>).</w:t>
      </w:r>
      <w:r>
        <w:rPr>
          <w:rFonts w:cstheme="minorHAnsi"/>
        </w:rPr>
        <w:t xml:space="preserve"> </w:t>
      </w:r>
      <w:r w:rsidRPr="00BC7F9A">
        <w:rPr>
          <w:rFonts w:cstheme="minorHAnsi"/>
          <w:i/>
          <w:iCs/>
        </w:rPr>
        <w:t>NIC 21,</w:t>
      </w:r>
      <w:r w:rsidR="007611B9" w:rsidRPr="00BC7F9A">
        <w:rPr>
          <w:rFonts w:cstheme="minorHAnsi"/>
          <w:i/>
          <w:iCs/>
        </w:rPr>
        <w:t xml:space="preserve"> </w:t>
      </w:r>
      <w:r w:rsidR="007611B9" w:rsidRPr="00AD7BB9">
        <w:rPr>
          <w:rFonts w:cstheme="minorHAnsi"/>
          <w:i/>
          <w:iCs/>
        </w:rPr>
        <w:t>Efectos</w:t>
      </w:r>
      <w:r w:rsidR="007611B9" w:rsidRPr="009E4CBC">
        <w:rPr>
          <w:rFonts w:cstheme="minorHAnsi"/>
          <w:i/>
          <w:iCs/>
        </w:rPr>
        <w:t xml:space="preserve"> de las Variaciones en las Tasas de Cambio de la Moneda Extranjera</w:t>
      </w:r>
      <w:r>
        <w:rPr>
          <w:rFonts w:cstheme="minorHAnsi"/>
          <w:i/>
          <w:iCs/>
        </w:rPr>
        <w:t>.</w:t>
      </w:r>
      <w:r w:rsidR="007611B9" w:rsidRPr="009E4CBC">
        <w:rPr>
          <w:rFonts w:cstheme="minorHAnsi"/>
          <w:i/>
          <w:iCs/>
        </w:rPr>
        <w:t xml:space="preserve"> </w:t>
      </w:r>
      <w:r w:rsidRPr="00D81EDF">
        <w:rPr>
          <w:rFonts w:cstheme="minorHAnsi"/>
        </w:rPr>
        <w:t>Disponible en</w:t>
      </w:r>
      <w:r>
        <w:rPr>
          <w:rFonts w:cstheme="minorHAnsi"/>
        </w:rPr>
        <w:t>:</w:t>
      </w:r>
      <w:r w:rsidRPr="009E4CBC">
        <w:rPr>
          <w:rFonts w:cstheme="minorHAnsi"/>
        </w:rPr>
        <w:t xml:space="preserve"> </w:t>
      </w:r>
      <w:hyperlink r:id="rId18" w:history="1">
        <w:r w:rsidRPr="00B10C99">
          <w:rPr>
            <w:rStyle w:val="Hipervnculo"/>
            <w:rFonts w:cstheme="minorHAnsi"/>
          </w:rPr>
          <w:t>https://www.ifrs.org/</w:t>
        </w:r>
      </w:hyperlink>
      <w:r w:rsidRPr="00B10C99">
        <w:rPr>
          <w:rFonts w:cstheme="minorHAnsi"/>
        </w:rPr>
        <w:t xml:space="preserve"> </w:t>
      </w:r>
    </w:p>
    <w:p w14:paraId="21F94B61" w14:textId="255046CA" w:rsidR="00934B9C" w:rsidRPr="009E4CBC" w:rsidRDefault="003964B1" w:rsidP="009E4CBC">
      <w:pPr>
        <w:spacing w:line="240" w:lineRule="auto"/>
        <w:jc w:val="both"/>
        <w:rPr>
          <w:rFonts w:cstheme="minorHAnsi"/>
          <w:lang w:val="en-US"/>
        </w:rPr>
      </w:pPr>
      <w:proofErr w:type="spellStart"/>
      <w:r w:rsidRPr="00B10C99">
        <w:rPr>
          <w:rFonts w:cstheme="minorHAnsi"/>
        </w:rPr>
        <w:t>Laswad</w:t>
      </w:r>
      <w:proofErr w:type="spellEnd"/>
      <w:r w:rsidRPr="00B10C99">
        <w:rPr>
          <w:rFonts w:cstheme="minorHAnsi"/>
        </w:rPr>
        <w:t xml:space="preserve">, F., </w:t>
      </w:r>
      <w:r w:rsidR="00BB4964" w:rsidRPr="00B10C99">
        <w:rPr>
          <w:rFonts w:cstheme="minorHAnsi"/>
        </w:rPr>
        <w:t xml:space="preserve">y </w:t>
      </w:r>
      <w:proofErr w:type="spellStart"/>
      <w:r w:rsidRPr="00B10C99">
        <w:rPr>
          <w:rFonts w:cstheme="minorHAnsi"/>
        </w:rPr>
        <w:t>Roush</w:t>
      </w:r>
      <w:proofErr w:type="spellEnd"/>
      <w:r w:rsidRPr="00B10C99">
        <w:rPr>
          <w:rFonts w:cstheme="minorHAnsi"/>
        </w:rPr>
        <w:t xml:space="preserve">, M. (2000). </w:t>
      </w:r>
      <w:r w:rsidRPr="009E4CBC">
        <w:rPr>
          <w:rFonts w:cstheme="minorHAnsi"/>
          <w:lang w:val="en-GB"/>
        </w:rPr>
        <w:t xml:space="preserve">Classification of foreign operations for financial reporting. </w:t>
      </w:r>
      <w:r w:rsidRPr="009E4CBC">
        <w:rPr>
          <w:rFonts w:cstheme="minorHAnsi"/>
          <w:i/>
          <w:lang w:val="en-US"/>
        </w:rPr>
        <w:t>Pacific Accounting Review</w:t>
      </w:r>
      <w:r w:rsidR="00BB4964" w:rsidRPr="009E4CBC">
        <w:rPr>
          <w:rFonts w:cstheme="minorHAnsi"/>
          <w:i/>
          <w:lang w:val="en-US"/>
        </w:rPr>
        <w:t>, 12</w:t>
      </w:r>
      <w:r w:rsidR="00220203">
        <w:rPr>
          <w:rFonts w:cstheme="minorHAnsi"/>
          <w:lang w:val="en-US"/>
        </w:rPr>
        <w:t xml:space="preserve">(1), 79-101. Doi: </w:t>
      </w:r>
      <w:hyperlink r:id="rId19" w:history="1">
        <w:r w:rsidR="00220203" w:rsidRPr="004C3912">
          <w:rPr>
            <w:rStyle w:val="Hipervnculo"/>
            <w:rFonts w:cstheme="minorHAnsi"/>
            <w:lang w:val="en-US"/>
          </w:rPr>
          <w:t>https://doi.org/10.1108/eb037950</w:t>
        </w:r>
      </w:hyperlink>
      <w:r w:rsidR="00220203">
        <w:rPr>
          <w:rFonts w:cstheme="minorHAnsi"/>
          <w:u w:val="single"/>
          <w:lang w:val="en-US"/>
        </w:rPr>
        <w:t xml:space="preserve"> </w:t>
      </w:r>
    </w:p>
    <w:p w14:paraId="6B167CEE" w14:textId="77777777" w:rsidR="009E4CBC" w:rsidRPr="009E4CBC" w:rsidRDefault="009E4CBC" w:rsidP="009E4CBC">
      <w:pPr>
        <w:spacing w:line="240" w:lineRule="auto"/>
        <w:jc w:val="both"/>
        <w:rPr>
          <w:rFonts w:cstheme="minorHAnsi"/>
          <w:sz w:val="24"/>
          <w:szCs w:val="24"/>
          <w:shd w:val="clear" w:color="auto" w:fill="FFFFFF"/>
          <w:lang w:val="en-US"/>
        </w:rPr>
      </w:pPr>
      <w:proofErr w:type="spellStart"/>
      <w:r w:rsidRPr="009E4CBC">
        <w:rPr>
          <w:rFonts w:cstheme="minorHAnsi"/>
          <w:shd w:val="clear" w:color="auto" w:fill="FFFFFF"/>
          <w:lang w:val="en-GB"/>
        </w:rPr>
        <w:lastRenderedPageBreak/>
        <w:t>Lorensen</w:t>
      </w:r>
      <w:proofErr w:type="spellEnd"/>
      <w:r w:rsidRPr="009E4CBC">
        <w:rPr>
          <w:rFonts w:cstheme="minorHAnsi"/>
          <w:shd w:val="clear" w:color="auto" w:fill="FFFFFF"/>
          <w:lang w:val="en-GB"/>
        </w:rPr>
        <w:t xml:space="preserve">, L. (1972). </w:t>
      </w:r>
      <w:r w:rsidRPr="009E4CBC">
        <w:rPr>
          <w:rFonts w:cstheme="minorHAnsi"/>
          <w:shd w:val="clear" w:color="auto" w:fill="FFFFFF"/>
          <w:lang w:val="en-US"/>
        </w:rPr>
        <w:t>Accounting Research Study No. 12. </w:t>
      </w:r>
      <w:r w:rsidRPr="009E4CBC">
        <w:rPr>
          <w:rFonts w:cstheme="minorHAnsi"/>
          <w:i/>
          <w:iCs/>
          <w:shd w:val="clear" w:color="auto" w:fill="FFFFFF"/>
          <w:lang w:val="en-US"/>
        </w:rPr>
        <w:t>Reporting Foreign Operations of US Companies in US Dollars (NY: American Institute of Certified Public Accountants, 1972)</w:t>
      </w:r>
      <w:r w:rsidRPr="009E4CBC">
        <w:rPr>
          <w:rFonts w:cstheme="minorHAnsi"/>
          <w:shd w:val="clear" w:color="auto" w:fill="FFFFFF"/>
          <w:lang w:val="en-US"/>
        </w:rPr>
        <w:t>, 12.</w:t>
      </w:r>
    </w:p>
    <w:p w14:paraId="46CCCD49" w14:textId="50A20109" w:rsidR="009E4CBC" w:rsidRPr="009E4CBC" w:rsidRDefault="009E4CBC" w:rsidP="009E4CBC">
      <w:pPr>
        <w:spacing w:line="240" w:lineRule="auto"/>
        <w:jc w:val="both"/>
        <w:rPr>
          <w:rFonts w:cstheme="minorHAnsi"/>
        </w:rPr>
      </w:pPr>
      <w:r w:rsidRPr="009E4CBC">
        <w:rPr>
          <w:rFonts w:cstheme="minorHAnsi"/>
        </w:rPr>
        <w:t xml:space="preserve">Pahlen Acuña, R. J. M, Campo, A. M., Chaves, O. A., Fronti de García, L., Helouani, R., y Viegas, J. C. (2011). </w:t>
      </w:r>
      <w:r w:rsidRPr="00BC7F9A">
        <w:rPr>
          <w:rFonts w:cstheme="minorHAnsi"/>
          <w:i/>
          <w:iCs/>
        </w:rPr>
        <w:t>Contabilidad Pasado, Presente y Futuro.</w:t>
      </w:r>
      <w:r w:rsidRPr="009E4CBC">
        <w:rPr>
          <w:rFonts w:cstheme="minorHAnsi"/>
        </w:rPr>
        <w:t xml:space="preserve"> Buenos Aires: La Ley.</w:t>
      </w:r>
    </w:p>
    <w:p w14:paraId="4DC851EF" w14:textId="73005EF7" w:rsidR="00552CA5" w:rsidRDefault="00552CA5" w:rsidP="00552CA5">
      <w:pPr>
        <w:spacing w:line="240" w:lineRule="auto"/>
        <w:jc w:val="both"/>
        <w:rPr>
          <w:rFonts w:cstheme="minorHAnsi"/>
          <w:shd w:val="clear" w:color="auto" w:fill="FFFFFF"/>
        </w:rPr>
      </w:pPr>
      <w:r w:rsidRPr="00B10C99">
        <w:rPr>
          <w:rFonts w:cstheme="minorHAnsi"/>
          <w:shd w:val="clear" w:color="auto" w:fill="FFFFFF"/>
        </w:rPr>
        <w:t xml:space="preserve">PricewaterhouseCoopers (2019). </w:t>
      </w:r>
      <w:proofErr w:type="spellStart"/>
      <w:r w:rsidRPr="00B10C99">
        <w:rPr>
          <w:rFonts w:cstheme="minorHAnsi"/>
          <w:shd w:val="clear" w:color="auto" w:fill="FFFFFF"/>
        </w:rPr>
        <w:t>Foreign</w:t>
      </w:r>
      <w:proofErr w:type="spellEnd"/>
      <w:r w:rsidRPr="00B10C99">
        <w:rPr>
          <w:rFonts w:cstheme="minorHAnsi"/>
          <w:shd w:val="clear" w:color="auto" w:fill="FFFFFF"/>
        </w:rPr>
        <w:t xml:space="preserve"> </w:t>
      </w:r>
      <w:proofErr w:type="spellStart"/>
      <w:r w:rsidRPr="00B10C99">
        <w:rPr>
          <w:rFonts w:cstheme="minorHAnsi"/>
          <w:shd w:val="clear" w:color="auto" w:fill="FFFFFF"/>
        </w:rPr>
        <w:t>currency</w:t>
      </w:r>
      <w:proofErr w:type="spellEnd"/>
      <w:r w:rsidRPr="00B10C99">
        <w:rPr>
          <w:rFonts w:cstheme="minorHAnsi"/>
          <w:shd w:val="clear" w:color="auto" w:fill="FFFFFF"/>
        </w:rPr>
        <w:t xml:space="preserve"> [Guía contable]. </w:t>
      </w:r>
      <w:r>
        <w:rPr>
          <w:rFonts w:cstheme="minorHAnsi"/>
          <w:shd w:val="clear" w:color="auto" w:fill="FFFFFF"/>
        </w:rPr>
        <w:t xml:space="preserve">Disponible en: </w:t>
      </w:r>
      <w:hyperlink r:id="rId20" w:history="1">
        <w:r w:rsidR="00AD7BB9" w:rsidRPr="00C23F30">
          <w:rPr>
            <w:rStyle w:val="Hipervnculo"/>
            <w:rFonts w:cstheme="minorHAnsi"/>
            <w:shd w:val="clear" w:color="auto" w:fill="FFFFFF"/>
          </w:rPr>
          <w:t>https://www.pwc.com/us/en/cfodirect/assets/pdf/accounting-guides/pwc-guide-foreign-currency.pdf</w:t>
        </w:r>
      </w:hyperlink>
    </w:p>
    <w:p w14:paraId="3B4431C9" w14:textId="4E6AA69D" w:rsidR="003964B1" w:rsidRPr="006C412A" w:rsidRDefault="003964B1" w:rsidP="009E4CBC">
      <w:pPr>
        <w:spacing w:line="240" w:lineRule="auto"/>
        <w:jc w:val="both"/>
        <w:rPr>
          <w:rFonts w:cstheme="minorHAnsi"/>
          <w:lang w:val="en-US"/>
        </w:rPr>
      </w:pPr>
      <w:r w:rsidRPr="00BA4EAC">
        <w:rPr>
          <w:rFonts w:cstheme="minorHAnsi"/>
          <w:szCs w:val="20"/>
          <w:shd w:val="clear" w:color="auto" w:fill="FFFFFF"/>
          <w:lang w:val="en-US"/>
        </w:rPr>
        <w:t xml:space="preserve">Street, D. L., </w:t>
      </w:r>
      <w:r w:rsidR="00BB4964" w:rsidRPr="00BA4EAC">
        <w:rPr>
          <w:rFonts w:cstheme="minorHAnsi"/>
          <w:szCs w:val="20"/>
          <w:shd w:val="clear" w:color="auto" w:fill="FFFFFF"/>
          <w:lang w:val="en-US"/>
        </w:rPr>
        <w:t xml:space="preserve">y </w:t>
      </w:r>
      <w:r w:rsidRPr="00BA4EAC">
        <w:rPr>
          <w:rFonts w:cstheme="minorHAnsi"/>
          <w:szCs w:val="20"/>
          <w:shd w:val="clear" w:color="auto" w:fill="FFFFFF"/>
          <w:lang w:val="en-US"/>
        </w:rPr>
        <w:t xml:space="preserve">Gray, S. J. (1999). </w:t>
      </w:r>
      <w:r w:rsidRPr="009E4CBC">
        <w:rPr>
          <w:rFonts w:cstheme="minorHAnsi"/>
          <w:szCs w:val="20"/>
          <w:shd w:val="clear" w:color="auto" w:fill="FFFFFF"/>
          <w:lang w:val="en-GB"/>
        </w:rPr>
        <w:t>How wide is the gap between IASC and US GAAP? Impact of the IASC comparability project and recent international developments. </w:t>
      </w:r>
      <w:r w:rsidRPr="009E4CBC">
        <w:rPr>
          <w:rFonts w:cstheme="minorHAnsi"/>
          <w:i/>
          <w:iCs/>
          <w:szCs w:val="20"/>
          <w:shd w:val="clear" w:color="auto" w:fill="FFFFFF"/>
          <w:lang w:val="en-US"/>
        </w:rPr>
        <w:t>Journal of International Accounting, Auditing and Taxation</w:t>
      </w:r>
      <w:r w:rsidRPr="009E4CBC">
        <w:rPr>
          <w:rFonts w:cstheme="minorHAnsi"/>
          <w:szCs w:val="20"/>
          <w:shd w:val="clear" w:color="auto" w:fill="FFFFFF"/>
          <w:lang w:val="en-US"/>
        </w:rPr>
        <w:t>, </w:t>
      </w:r>
      <w:r w:rsidRPr="009E4CBC">
        <w:rPr>
          <w:rFonts w:cstheme="minorHAnsi"/>
          <w:i/>
          <w:iCs/>
          <w:szCs w:val="20"/>
          <w:shd w:val="clear" w:color="auto" w:fill="FFFFFF"/>
          <w:lang w:val="en-US"/>
        </w:rPr>
        <w:t>8</w:t>
      </w:r>
      <w:r w:rsidRPr="009E4CBC">
        <w:rPr>
          <w:rFonts w:cstheme="minorHAnsi"/>
          <w:szCs w:val="20"/>
          <w:shd w:val="clear" w:color="auto" w:fill="FFFFFF"/>
          <w:lang w:val="en-US"/>
        </w:rPr>
        <w:t>(1), 133-164.</w:t>
      </w:r>
      <w:r w:rsidR="00BB4964" w:rsidRPr="009E4CBC">
        <w:rPr>
          <w:rFonts w:cstheme="minorHAnsi"/>
          <w:szCs w:val="20"/>
          <w:shd w:val="clear" w:color="auto" w:fill="FFFFFF"/>
          <w:lang w:val="en-US"/>
        </w:rPr>
        <w:t xml:space="preserve"> </w:t>
      </w:r>
      <w:r w:rsidR="00BB4964" w:rsidRPr="006C412A">
        <w:rPr>
          <w:rFonts w:cstheme="minorHAnsi"/>
          <w:szCs w:val="20"/>
          <w:shd w:val="clear" w:color="auto" w:fill="FFFFFF"/>
          <w:lang w:val="en-US"/>
        </w:rPr>
        <w:t>Doi:</w:t>
      </w:r>
      <w:r w:rsidR="00B10C99">
        <w:rPr>
          <w:rFonts w:cstheme="minorHAnsi"/>
          <w:szCs w:val="20"/>
          <w:shd w:val="clear" w:color="auto" w:fill="FFFFFF"/>
          <w:lang w:val="en-US"/>
        </w:rPr>
        <w:t xml:space="preserve"> </w:t>
      </w:r>
      <w:r w:rsidR="00B10C99" w:rsidRPr="00B10C99">
        <w:rPr>
          <w:rFonts w:cstheme="minorHAnsi"/>
          <w:szCs w:val="20"/>
          <w:shd w:val="clear" w:color="auto" w:fill="FFFFFF"/>
          <w:lang w:val="en-US"/>
        </w:rPr>
        <w:t>https://doi.org/10.1016/S1061-9518(99)00007-5</w:t>
      </w:r>
      <w:r w:rsidR="00BB4964" w:rsidRPr="006C412A">
        <w:rPr>
          <w:rFonts w:cstheme="minorHAnsi"/>
          <w:szCs w:val="20"/>
          <w:shd w:val="clear" w:color="auto" w:fill="FFFFFF"/>
          <w:lang w:val="en-US"/>
        </w:rPr>
        <w:t xml:space="preserve"> </w:t>
      </w:r>
    </w:p>
    <w:p w14:paraId="68B18A7D" w14:textId="77777777" w:rsidR="009E4CBC" w:rsidRDefault="009E4CBC" w:rsidP="009E4CBC">
      <w:pPr>
        <w:spacing w:line="240" w:lineRule="auto"/>
        <w:jc w:val="both"/>
        <w:rPr>
          <w:rFonts w:cstheme="minorHAnsi"/>
          <w:shd w:val="clear" w:color="auto" w:fill="FFFFFF"/>
        </w:rPr>
      </w:pPr>
      <w:r w:rsidRPr="009E4CBC">
        <w:rPr>
          <w:rFonts w:cstheme="minorHAnsi"/>
          <w:shd w:val="clear" w:color="auto" w:fill="FFFFFF"/>
        </w:rPr>
        <w:t>Torres, C. F. (2005). Investigación: Fundamentos Teóricos para la Interpretación de las Normas Contables Profesionales Argentinas en Materia de Conversión de Estados Contables. </w:t>
      </w:r>
      <w:r w:rsidRPr="009E4CBC">
        <w:rPr>
          <w:rFonts w:cstheme="minorHAnsi"/>
          <w:i/>
          <w:iCs/>
          <w:shd w:val="clear" w:color="auto" w:fill="FFFFFF"/>
        </w:rPr>
        <w:t>Ciencias Económicas</w:t>
      </w:r>
      <w:r w:rsidRPr="009E4CBC">
        <w:rPr>
          <w:rFonts w:cstheme="minorHAnsi"/>
          <w:shd w:val="clear" w:color="auto" w:fill="FFFFFF"/>
        </w:rPr>
        <w:t>, </w:t>
      </w:r>
      <w:r w:rsidRPr="009E4CBC">
        <w:rPr>
          <w:rFonts w:cstheme="minorHAnsi"/>
          <w:i/>
          <w:iCs/>
          <w:shd w:val="clear" w:color="auto" w:fill="FFFFFF"/>
        </w:rPr>
        <w:t>3</w:t>
      </w:r>
      <w:r w:rsidRPr="009E4CBC">
        <w:rPr>
          <w:rFonts w:cstheme="minorHAnsi"/>
          <w:shd w:val="clear" w:color="auto" w:fill="FFFFFF"/>
        </w:rPr>
        <w:t>(1), 23-40.</w:t>
      </w:r>
    </w:p>
    <w:p w14:paraId="3547D361" w14:textId="43B058C3" w:rsidR="009E4CBC" w:rsidRDefault="009E4CBC" w:rsidP="009E4CBC">
      <w:pPr>
        <w:spacing w:after="0" w:line="240" w:lineRule="auto"/>
        <w:jc w:val="both"/>
        <w:rPr>
          <w:rFonts w:cstheme="minorHAnsi"/>
          <w:shd w:val="clear" w:color="auto" w:fill="FFFFFF"/>
        </w:rPr>
      </w:pPr>
      <w:r w:rsidRPr="009E4CBC">
        <w:rPr>
          <w:rFonts w:cstheme="minorHAnsi"/>
          <w:shd w:val="clear" w:color="auto" w:fill="FFFFFF"/>
        </w:rPr>
        <w:t xml:space="preserve">Torres, C. F. (2010). </w:t>
      </w:r>
      <w:r w:rsidRPr="009E4CBC">
        <w:rPr>
          <w:rFonts w:cstheme="minorHAnsi"/>
          <w:i/>
          <w:shd w:val="clear" w:color="auto" w:fill="FFFFFF"/>
        </w:rPr>
        <w:t>Agrupamientos de empresas: Aspectos contables.</w:t>
      </w:r>
      <w:r w:rsidRPr="009E4CBC">
        <w:rPr>
          <w:rFonts w:cstheme="minorHAnsi"/>
          <w:shd w:val="clear" w:color="auto" w:fill="FFFFFF"/>
        </w:rPr>
        <w:t xml:space="preserve"> Santa Fe, Argentina: Ediciones U</w:t>
      </w:r>
      <w:r w:rsidR="00220203">
        <w:rPr>
          <w:rFonts w:cstheme="minorHAnsi"/>
          <w:shd w:val="clear" w:color="auto" w:fill="FFFFFF"/>
        </w:rPr>
        <w:t>niversidad Nacional del Litoral</w:t>
      </w:r>
      <w:r w:rsidRPr="009E4CBC">
        <w:rPr>
          <w:rFonts w:cstheme="minorHAnsi"/>
          <w:shd w:val="clear" w:color="auto" w:fill="FFFFFF"/>
        </w:rPr>
        <w:t>.</w:t>
      </w:r>
    </w:p>
    <w:p w14:paraId="1F8512FF" w14:textId="77777777" w:rsidR="009E4CBC" w:rsidRPr="009E4CBC" w:rsidRDefault="009E4CBC" w:rsidP="009E4CBC">
      <w:pPr>
        <w:spacing w:after="0" w:line="240" w:lineRule="auto"/>
        <w:jc w:val="both"/>
        <w:rPr>
          <w:rFonts w:cstheme="minorHAnsi"/>
          <w:shd w:val="clear" w:color="auto" w:fill="FFFFFF"/>
        </w:rPr>
      </w:pPr>
    </w:p>
    <w:p w14:paraId="6F97F26C" w14:textId="1B7A805B" w:rsidR="00934B9C" w:rsidRPr="009E4CBC" w:rsidRDefault="00934B9C" w:rsidP="009E4CBC">
      <w:pPr>
        <w:spacing w:line="240" w:lineRule="auto"/>
        <w:jc w:val="both"/>
        <w:rPr>
          <w:rFonts w:cstheme="minorHAnsi"/>
          <w:lang w:val="en-US"/>
        </w:rPr>
      </w:pPr>
      <w:r w:rsidRPr="009E4CBC">
        <w:rPr>
          <w:rFonts w:cstheme="minorHAnsi"/>
        </w:rPr>
        <w:t xml:space="preserve">Van Greuning, H., Scott, D., </w:t>
      </w:r>
      <w:r w:rsidR="002B7885" w:rsidRPr="009E4CBC">
        <w:rPr>
          <w:rFonts w:cstheme="minorHAnsi"/>
        </w:rPr>
        <w:t>y</w:t>
      </w:r>
      <w:r w:rsidRPr="009E4CBC">
        <w:rPr>
          <w:rFonts w:cstheme="minorHAnsi"/>
        </w:rPr>
        <w:t xml:space="preserve"> Terblanche, S. (2011).</w:t>
      </w:r>
      <w:r w:rsidR="002B7885" w:rsidRPr="009E4CBC">
        <w:rPr>
          <w:rFonts w:cstheme="minorHAnsi"/>
        </w:rPr>
        <w:t xml:space="preserve"> </w:t>
      </w:r>
      <w:r w:rsidR="002B7885" w:rsidRPr="009E4CBC">
        <w:rPr>
          <w:rFonts w:cstheme="minorHAnsi"/>
          <w:lang w:val="en-GB"/>
        </w:rPr>
        <w:t xml:space="preserve">The Effects of Changes in Foreign Exchange Rates (IAS 21). En </w:t>
      </w:r>
      <w:r w:rsidRPr="009E4CBC">
        <w:rPr>
          <w:rFonts w:cstheme="minorHAnsi"/>
          <w:i/>
          <w:lang w:val="en-GB"/>
        </w:rPr>
        <w:t>International financial reporting standards: a practical guide</w:t>
      </w:r>
      <w:r w:rsidRPr="009E4CBC">
        <w:rPr>
          <w:rFonts w:cstheme="minorHAnsi"/>
          <w:lang w:val="en-GB"/>
        </w:rPr>
        <w:t xml:space="preserve">. </w:t>
      </w:r>
      <w:r w:rsidRPr="009E4CBC">
        <w:rPr>
          <w:rFonts w:cstheme="minorHAnsi"/>
          <w:lang w:val="en-US"/>
        </w:rPr>
        <w:t>The World Bank</w:t>
      </w:r>
    </w:p>
    <w:p w14:paraId="335DE10C" w14:textId="77777777" w:rsidR="002F4B15" w:rsidRPr="00B10C99" w:rsidRDefault="002F4B15" w:rsidP="009E4CBC">
      <w:pPr>
        <w:spacing w:line="240" w:lineRule="auto"/>
        <w:jc w:val="both"/>
        <w:rPr>
          <w:rFonts w:cstheme="minorHAnsi"/>
          <w:shd w:val="clear" w:color="auto" w:fill="FFFFFF"/>
          <w:lang w:val="en-GB"/>
        </w:rPr>
      </w:pPr>
    </w:p>
    <w:sectPr w:rsidR="002F4B15" w:rsidRPr="00B10C99" w:rsidSect="00E2276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079A9"/>
    <w:multiLevelType w:val="hybridMultilevel"/>
    <w:tmpl w:val="2EF4AE6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 w15:restartNumberingAfterBreak="0">
    <w:nsid w:val="0783577D"/>
    <w:multiLevelType w:val="hybridMultilevel"/>
    <w:tmpl w:val="4866F156"/>
    <w:lvl w:ilvl="0" w:tplc="7FFA42B2">
      <w:start w:val="1"/>
      <w:numFmt w:val="bullet"/>
      <w:lvlText w:val="-"/>
      <w:lvlJc w:val="left"/>
      <w:pPr>
        <w:ind w:left="720" w:hanging="360"/>
      </w:pPr>
      <w:rPr>
        <w:rFonts w:ascii="Verdana" w:hAnsi="Verdan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78C23B7"/>
    <w:multiLevelType w:val="hybridMultilevel"/>
    <w:tmpl w:val="A25E86D4"/>
    <w:lvl w:ilvl="0" w:tplc="2C0A0019">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3" w15:restartNumberingAfterBreak="0">
    <w:nsid w:val="095528FD"/>
    <w:multiLevelType w:val="hybridMultilevel"/>
    <w:tmpl w:val="7736C19C"/>
    <w:lvl w:ilvl="0" w:tplc="7FFA42B2">
      <w:start w:val="1"/>
      <w:numFmt w:val="bullet"/>
      <w:lvlText w:val="-"/>
      <w:lvlJc w:val="left"/>
      <w:pPr>
        <w:ind w:left="720" w:hanging="360"/>
      </w:pPr>
      <w:rPr>
        <w:rFonts w:ascii="Verdana" w:hAnsi="Verdan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08565EE"/>
    <w:multiLevelType w:val="multilevel"/>
    <w:tmpl w:val="6302991C"/>
    <w:lvl w:ilvl="0">
      <w:start w:val="1"/>
      <w:numFmt w:val="bullet"/>
      <w:lvlText w:val="-"/>
      <w:lvlJc w:val="left"/>
      <w:pPr>
        <w:ind w:left="1440" w:hanging="360"/>
      </w:pPr>
      <w:rPr>
        <w:rFonts w:ascii="Verdana" w:hAnsi="Verdana"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1117BF5"/>
    <w:multiLevelType w:val="hybridMultilevel"/>
    <w:tmpl w:val="54941A72"/>
    <w:lvl w:ilvl="0" w:tplc="7FFA42B2">
      <w:start w:val="1"/>
      <w:numFmt w:val="bullet"/>
      <w:lvlText w:val="-"/>
      <w:lvlJc w:val="left"/>
      <w:pPr>
        <w:ind w:left="720" w:hanging="360"/>
      </w:pPr>
      <w:rPr>
        <w:rFonts w:ascii="Verdana" w:hAnsi="Verdana"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130016F2"/>
    <w:multiLevelType w:val="hybridMultilevel"/>
    <w:tmpl w:val="EB38786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154D4FB4"/>
    <w:multiLevelType w:val="multilevel"/>
    <w:tmpl w:val="F5685FCC"/>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6971AC1"/>
    <w:multiLevelType w:val="hybridMultilevel"/>
    <w:tmpl w:val="24309A1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29501495"/>
    <w:multiLevelType w:val="hybridMultilevel"/>
    <w:tmpl w:val="2A44D5B4"/>
    <w:lvl w:ilvl="0" w:tplc="FE1AE608">
      <w:start w:val="1"/>
      <w:numFmt w:val="decimal"/>
      <w:lvlText w:val="%1."/>
      <w:lvlJc w:val="left"/>
      <w:pPr>
        <w:ind w:left="720" w:hanging="360"/>
      </w:pPr>
      <w:rPr>
        <w:rFonts w:asciiTheme="minorHAnsi" w:eastAsiaTheme="minorHAnsi" w:hAnsiTheme="minorHAnsi" w:cstheme="minorBidi"/>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30AF7027"/>
    <w:multiLevelType w:val="multilevel"/>
    <w:tmpl w:val="D638C0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39063A7"/>
    <w:multiLevelType w:val="hybridMultilevel"/>
    <w:tmpl w:val="B60A4BCE"/>
    <w:lvl w:ilvl="0" w:tplc="7FFA42B2">
      <w:start w:val="1"/>
      <w:numFmt w:val="bullet"/>
      <w:lvlText w:val="-"/>
      <w:lvlJc w:val="left"/>
      <w:pPr>
        <w:ind w:left="720" w:hanging="360"/>
      </w:pPr>
      <w:rPr>
        <w:rFonts w:ascii="Verdana" w:hAnsi="Verdana"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3467030E"/>
    <w:multiLevelType w:val="hybridMultilevel"/>
    <w:tmpl w:val="B6D6DDF2"/>
    <w:lvl w:ilvl="0" w:tplc="7FBCC18C">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355715CC"/>
    <w:multiLevelType w:val="hybridMultilevel"/>
    <w:tmpl w:val="DA3E3CFC"/>
    <w:lvl w:ilvl="0" w:tplc="7FFA42B2">
      <w:start w:val="1"/>
      <w:numFmt w:val="bullet"/>
      <w:lvlText w:val="-"/>
      <w:lvlJc w:val="left"/>
      <w:pPr>
        <w:ind w:left="720" w:hanging="360"/>
      </w:pPr>
      <w:rPr>
        <w:rFonts w:ascii="Verdana" w:hAnsi="Verdana"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385F55AE"/>
    <w:multiLevelType w:val="multilevel"/>
    <w:tmpl w:val="1B1C7780"/>
    <w:lvl w:ilvl="0">
      <w:start w:val="3"/>
      <w:numFmt w:val="decimal"/>
      <w:lvlText w:val="%1."/>
      <w:lvlJc w:val="left"/>
      <w:pPr>
        <w:ind w:left="360" w:hanging="360"/>
      </w:pPr>
      <w:rPr>
        <w:rFonts w:hint="default"/>
      </w:rPr>
    </w:lvl>
    <w:lvl w:ilvl="1">
      <w:start w:val="1"/>
      <w:numFmt w:val="decimal"/>
      <w:pStyle w:val="Ttulo2"/>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E37DB1"/>
    <w:multiLevelType w:val="multilevel"/>
    <w:tmpl w:val="89EEF2F8"/>
    <w:lvl w:ilvl="0">
      <w:start w:val="1"/>
      <w:numFmt w:val="bullet"/>
      <w:lvlText w:val="-"/>
      <w:lvlJc w:val="left"/>
      <w:pPr>
        <w:ind w:left="720" w:hanging="360"/>
      </w:pPr>
      <w:rPr>
        <w:rFonts w:ascii="Verdana" w:hAnsi="Verdana"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C8F7315"/>
    <w:multiLevelType w:val="multilevel"/>
    <w:tmpl w:val="2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E3E214D"/>
    <w:multiLevelType w:val="multilevel"/>
    <w:tmpl w:val="9198F93C"/>
    <w:lvl w:ilvl="0">
      <w:start w:val="1"/>
      <w:numFmt w:val="bullet"/>
      <w:lvlText w:val="-"/>
      <w:lvlJc w:val="left"/>
      <w:pPr>
        <w:ind w:left="720" w:hanging="360"/>
      </w:pPr>
      <w:rPr>
        <w:rFonts w:ascii="Verdana" w:hAnsi="Verdana"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F351DAC"/>
    <w:multiLevelType w:val="multilevel"/>
    <w:tmpl w:val="EF58B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1EB20FD"/>
    <w:multiLevelType w:val="hybridMultilevel"/>
    <w:tmpl w:val="6FA4550C"/>
    <w:lvl w:ilvl="0" w:tplc="7FFA42B2">
      <w:start w:val="1"/>
      <w:numFmt w:val="bullet"/>
      <w:lvlText w:val="-"/>
      <w:lvlJc w:val="left"/>
      <w:pPr>
        <w:ind w:left="720" w:hanging="360"/>
      </w:pPr>
      <w:rPr>
        <w:rFonts w:ascii="Verdana" w:hAnsi="Verdan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468466FF"/>
    <w:multiLevelType w:val="multilevel"/>
    <w:tmpl w:val="482067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49E35E0B"/>
    <w:multiLevelType w:val="hybridMultilevel"/>
    <w:tmpl w:val="2034AD1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4FE7235E"/>
    <w:multiLevelType w:val="multilevel"/>
    <w:tmpl w:val="01BE4A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0370AFA"/>
    <w:multiLevelType w:val="hybridMultilevel"/>
    <w:tmpl w:val="94C02594"/>
    <w:lvl w:ilvl="0" w:tplc="2C0A0019">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4" w15:restartNumberingAfterBreak="0">
    <w:nsid w:val="50F211D5"/>
    <w:multiLevelType w:val="hybridMultilevel"/>
    <w:tmpl w:val="84C4BF74"/>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58E50C98"/>
    <w:multiLevelType w:val="hybridMultilevel"/>
    <w:tmpl w:val="C8A4B45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58E648EC"/>
    <w:multiLevelType w:val="hybridMultilevel"/>
    <w:tmpl w:val="74DCB446"/>
    <w:lvl w:ilvl="0" w:tplc="7FFA42B2">
      <w:start w:val="1"/>
      <w:numFmt w:val="bullet"/>
      <w:lvlText w:val="-"/>
      <w:lvlJc w:val="left"/>
      <w:pPr>
        <w:ind w:left="1428" w:hanging="360"/>
      </w:pPr>
      <w:rPr>
        <w:rFonts w:ascii="Verdana" w:hAnsi="Verdana"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27" w15:restartNumberingAfterBreak="0">
    <w:nsid w:val="5A3B4D4F"/>
    <w:multiLevelType w:val="multilevel"/>
    <w:tmpl w:val="36001C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D7763DB"/>
    <w:multiLevelType w:val="hybridMultilevel"/>
    <w:tmpl w:val="BA667B56"/>
    <w:lvl w:ilvl="0" w:tplc="FD3A3D2C">
      <w:start w:val="1"/>
      <w:numFmt w:val="decimal"/>
      <w:pStyle w:val="Ttulo1"/>
      <w:lvlText w:val="%1."/>
      <w:lvlJc w:val="left"/>
      <w:pPr>
        <w:ind w:left="720" w:hanging="36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15:restartNumberingAfterBreak="0">
    <w:nsid w:val="66117828"/>
    <w:multiLevelType w:val="hybridMultilevel"/>
    <w:tmpl w:val="EA7C490A"/>
    <w:lvl w:ilvl="0" w:tplc="7FFA42B2">
      <w:start w:val="1"/>
      <w:numFmt w:val="bullet"/>
      <w:lvlText w:val="-"/>
      <w:lvlJc w:val="left"/>
      <w:pPr>
        <w:ind w:left="720" w:hanging="360"/>
      </w:pPr>
      <w:rPr>
        <w:rFonts w:ascii="Verdana" w:hAnsi="Verdan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0" w15:restartNumberingAfterBreak="0">
    <w:nsid w:val="6EB724BB"/>
    <w:multiLevelType w:val="multilevel"/>
    <w:tmpl w:val="BFD046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6FBF363F"/>
    <w:multiLevelType w:val="hybridMultilevel"/>
    <w:tmpl w:val="0FB8823A"/>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15:restartNumberingAfterBreak="0">
    <w:nsid w:val="70216603"/>
    <w:multiLevelType w:val="multilevel"/>
    <w:tmpl w:val="96D4E4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090108C"/>
    <w:multiLevelType w:val="multilevel"/>
    <w:tmpl w:val="FF6214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2156AFB"/>
    <w:multiLevelType w:val="hybridMultilevel"/>
    <w:tmpl w:val="EB942880"/>
    <w:lvl w:ilvl="0" w:tplc="7FFA42B2">
      <w:start w:val="1"/>
      <w:numFmt w:val="bullet"/>
      <w:lvlText w:val="-"/>
      <w:lvlJc w:val="left"/>
      <w:pPr>
        <w:ind w:left="720" w:hanging="360"/>
      </w:pPr>
      <w:rPr>
        <w:rFonts w:ascii="Verdana" w:hAnsi="Verdan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5" w15:restartNumberingAfterBreak="0">
    <w:nsid w:val="73A01AD3"/>
    <w:multiLevelType w:val="hybridMultilevel"/>
    <w:tmpl w:val="BAAAA2AC"/>
    <w:lvl w:ilvl="0" w:tplc="E86611D0">
      <w:start w:val="1"/>
      <w:numFmt w:val="decimal"/>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36" w15:restartNumberingAfterBreak="0">
    <w:nsid w:val="79395B85"/>
    <w:multiLevelType w:val="multilevel"/>
    <w:tmpl w:val="7924D0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15:restartNumberingAfterBreak="0">
    <w:nsid w:val="7CD84463"/>
    <w:multiLevelType w:val="multilevel"/>
    <w:tmpl w:val="B03A3D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31"/>
  </w:num>
  <w:num w:numId="2">
    <w:abstractNumId w:val="12"/>
  </w:num>
  <w:num w:numId="3">
    <w:abstractNumId w:val="35"/>
  </w:num>
  <w:num w:numId="4">
    <w:abstractNumId w:val="6"/>
  </w:num>
  <w:num w:numId="5">
    <w:abstractNumId w:val="25"/>
  </w:num>
  <w:num w:numId="6">
    <w:abstractNumId w:val="9"/>
  </w:num>
  <w:num w:numId="7">
    <w:abstractNumId w:val="21"/>
  </w:num>
  <w:num w:numId="8">
    <w:abstractNumId w:val="10"/>
  </w:num>
  <w:num w:numId="9">
    <w:abstractNumId w:val="20"/>
  </w:num>
  <w:num w:numId="10">
    <w:abstractNumId w:val="36"/>
  </w:num>
  <w:num w:numId="11">
    <w:abstractNumId w:val="30"/>
  </w:num>
  <w:num w:numId="12">
    <w:abstractNumId w:val="27"/>
  </w:num>
  <w:num w:numId="13">
    <w:abstractNumId w:val="22"/>
  </w:num>
  <w:num w:numId="14">
    <w:abstractNumId w:val="37"/>
  </w:num>
  <w:num w:numId="15">
    <w:abstractNumId w:val="32"/>
  </w:num>
  <w:num w:numId="16">
    <w:abstractNumId w:val="18"/>
  </w:num>
  <w:num w:numId="17">
    <w:abstractNumId w:val="28"/>
  </w:num>
  <w:num w:numId="18">
    <w:abstractNumId w:val="0"/>
  </w:num>
  <w:num w:numId="19">
    <w:abstractNumId w:val="23"/>
  </w:num>
  <w:num w:numId="20">
    <w:abstractNumId w:val="2"/>
  </w:num>
  <w:num w:numId="21">
    <w:abstractNumId w:val="8"/>
  </w:num>
  <w:num w:numId="22">
    <w:abstractNumId w:val="16"/>
  </w:num>
  <w:num w:numId="23">
    <w:abstractNumId w:val="33"/>
  </w:num>
  <w:num w:numId="24">
    <w:abstractNumId w:val="14"/>
  </w:num>
  <w:num w:numId="25">
    <w:abstractNumId w:val="24"/>
  </w:num>
  <w:num w:numId="26">
    <w:abstractNumId w:val="7"/>
  </w:num>
  <w:num w:numId="27">
    <w:abstractNumId w:val="26"/>
  </w:num>
  <w:num w:numId="28">
    <w:abstractNumId w:val="3"/>
  </w:num>
  <w:num w:numId="29">
    <w:abstractNumId w:val="11"/>
  </w:num>
  <w:num w:numId="30">
    <w:abstractNumId w:val="13"/>
  </w:num>
  <w:num w:numId="31">
    <w:abstractNumId w:val="4"/>
  </w:num>
  <w:num w:numId="32">
    <w:abstractNumId w:val="17"/>
  </w:num>
  <w:num w:numId="33">
    <w:abstractNumId w:val="15"/>
  </w:num>
  <w:num w:numId="34">
    <w:abstractNumId w:val="14"/>
  </w:num>
  <w:num w:numId="35">
    <w:abstractNumId w:val="5"/>
  </w:num>
  <w:num w:numId="36">
    <w:abstractNumId w:val="19"/>
  </w:num>
  <w:num w:numId="37">
    <w:abstractNumId w:val="34"/>
  </w:num>
  <w:num w:numId="38">
    <w:abstractNumId w:val="29"/>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97C"/>
    <w:rsid w:val="000419EB"/>
    <w:rsid w:val="00060EFF"/>
    <w:rsid w:val="00096791"/>
    <w:rsid w:val="000B70C7"/>
    <w:rsid w:val="000D2BE4"/>
    <w:rsid w:val="000D43B1"/>
    <w:rsid w:val="0011626E"/>
    <w:rsid w:val="001230C0"/>
    <w:rsid w:val="00180175"/>
    <w:rsid w:val="001A58F7"/>
    <w:rsid w:val="001D3436"/>
    <w:rsid w:val="001D665B"/>
    <w:rsid w:val="002074F4"/>
    <w:rsid w:val="00213B18"/>
    <w:rsid w:val="00220203"/>
    <w:rsid w:val="0022768A"/>
    <w:rsid w:val="00231B38"/>
    <w:rsid w:val="00251381"/>
    <w:rsid w:val="0025297C"/>
    <w:rsid w:val="002671F0"/>
    <w:rsid w:val="00273349"/>
    <w:rsid w:val="00277CC7"/>
    <w:rsid w:val="00284668"/>
    <w:rsid w:val="002907AC"/>
    <w:rsid w:val="002A7D7D"/>
    <w:rsid w:val="002A7E72"/>
    <w:rsid w:val="002B2E99"/>
    <w:rsid w:val="002B7885"/>
    <w:rsid w:val="002C2DE1"/>
    <w:rsid w:val="002E6D02"/>
    <w:rsid w:val="002F1203"/>
    <w:rsid w:val="002F4B15"/>
    <w:rsid w:val="003022A2"/>
    <w:rsid w:val="003214BD"/>
    <w:rsid w:val="003250D0"/>
    <w:rsid w:val="00336326"/>
    <w:rsid w:val="003562D7"/>
    <w:rsid w:val="003964B1"/>
    <w:rsid w:val="003C2D83"/>
    <w:rsid w:val="003D4BE8"/>
    <w:rsid w:val="003E6B88"/>
    <w:rsid w:val="003F14CA"/>
    <w:rsid w:val="003F1C28"/>
    <w:rsid w:val="004145D3"/>
    <w:rsid w:val="00433A62"/>
    <w:rsid w:val="004342A9"/>
    <w:rsid w:val="00435ABD"/>
    <w:rsid w:val="00457130"/>
    <w:rsid w:val="004611E1"/>
    <w:rsid w:val="004705A5"/>
    <w:rsid w:val="00472B12"/>
    <w:rsid w:val="004E0EAB"/>
    <w:rsid w:val="004E1EBE"/>
    <w:rsid w:val="004E37F7"/>
    <w:rsid w:val="0050238B"/>
    <w:rsid w:val="0051508F"/>
    <w:rsid w:val="005172A1"/>
    <w:rsid w:val="005208CB"/>
    <w:rsid w:val="0052668A"/>
    <w:rsid w:val="00530905"/>
    <w:rsid w:val="005334AF"/>
    <w:rsid w:val="00542FA7"/>
    <w:rsid w:val="00552CA5"/>
    <w:rsid w:val="00561AC3"/>
    <w:rsid w:val="005A0F8D"/>
    <w:rsid w:val="005A311D"/>
    <w:rsid w:val="005A7178"/>
    <w:rsid w:val="005B0BAC"/>
    <w:rsid w:val="005B4D11"/>
    <w:rsid w:val="005B7598"/>
    <w:rsid w:val="005C5C9A"/>
    <w:rsid w:val="005F0BA4"/>
    <w:rsid w:val="005F5334"/>
    <w:rsid w:val="00607F66"/>
    <w:rsid w:val="00623AD2"/>
    <w:rsid w:val="00635A46"/>
    <w:rsid w:val="006401A1"/>
    <w:rsid w:val="00677047"/>
    <w:rsid w:val="0067769A"/>
    <w:rsid w:val="00677EAC"/>
    <w:rsid w:val="006A0A6E"/>
    <w:rsid w:val="006A29B7"/>
    <w:rsid w:val="006C243B"/>
    <w:rsid w:val="006C2873"/>
    <w:rsid w:val="006C412A"/>
    <w:rsid w:val="006C5A67"/>
    <w:rsid w:val="006F6CC8"/>
    <w:rsid w:val="00702B45"/>
    <w:rsid w:val="00705778"/>
    <w:rsid w:val="00713E9E"/>
    <w:rsid w:val="00730421"/>
    <w:rsid w:val="007351A1"/>
    <w:rsid w:val="00751A22"/>
    <w:rsid w:val="007611B9"/>
    <w:rsid w:val="0076266D"/>
    <w:rsid w:val="00772F9F"/>
    <w:rsid w:val="0078255D"/>
    <w:rsid w:val="0078329E"/>
    <w:rsid w:val="00784197"/>
    <w:rsid w:val="007957F1"/>
    <w:rsid w:val="007A3D5F"/>
    <w:rsid w:val="007B64B0"/>
    <w:rsid w:val="007B7A3B"/>
    <w:rsid w:val="007D62A6"/>
    <w:rsid w:val="0080152A"/>
    <w:rsid w:val="00804D7D"/>
    <w:rsid w:val="008123C1"/>
    <w:rsid w:val="008338BE"/>
    <w:rsid w:val="00863127"/>
    <w:rsid w:val="008735B7"/>
    <w:rsid w:val="008A08D5"/>
    <w:rsid w:val="008A394B"/>
    <w:rsid w:val="008B26F9"/>
    <w:rsid w:val="008C5374"/>
    <w:rsid w:val="008D036A"/>
    <w:rsid w:val="008D1F06"/>
    <w:rsid w:val="008D513D"/>
    <w:rsid w:val="008E022B"/>
    <w:rsid w:val="008E6337"/>
    <w:rsid w:val="008F5D21"/>
    <w:rsid w:val="009040AC"/>
    <w:rsid w:val="00910340"/>
    <w:rsid w:val="009120DC"/>
    <w:rsid w:val="009210C7"/>
    <w:rsid w:val="00933228"/>
    <w:rsid w:val="00934B9C"/>
    <w:rsid w:val="00941E92"/>
    <w:rsid w:val="00943DB5"/>
    <w:rsid w:val="00944307"/>
    <w:rsid w:val="0096777E"/>
    <w:rsid w:val="00967814"/>
    <w:rsid w:val="00970136"/>
    <w:rsid w:val="009D2229"/>
    <w:rsid w:val="009E4CBC"/>
    <w:rsid w:val="00A055D3"/>
    <w:rsid w:val="00A17B55"/>
    <w:rsid w:val="00A27E59"/>
    <w:rsid w:val="00A76C3C"/>
    <w:rsid w:val="00A77C07"/>
    <w:rsid w:val="00A96E69"/>
    <w:rsid w:val="00AA23B7"/>
    <w:rsid w:val="00AC12DF"/>
    <w:rsid w:val="00AD0F2B"/>
    <w:rsid w:val="00AD7BB9"/>
    <w:rsid w:val="00AF1D95"/>
    <w:rsid w:val="00B07F66"/>
    <w:rsid w:val="00B10C99"/>
    <w:rsid w:val="00B22348"/>
    <w:rsid w:val="00B34537"/>
    <w:rsid w:val="00B3622F"/>
    <w:rsid w:val="00B40695"/>
    <w:rsid w:val="00B47085"/>
    <w:rsid w:val="00B61499"/>
    <w:rsid w:val="00B66D23"/>
    <w:rsid w:val="00B943C9"/>
    <w:rsid w:val="00BA4EAC"/>
    <w:rsid w:val="00BA5219"/>
    <w:rsid w:val="00BA6A23"/>
    <w:rsid w:val="00BB4964"/>
    <w:rsid w:val="00BC48ED"/>
    <w:rsid w:val="00BC7F9A"/>
    <w:rsid w:val="00BD0735"/>
    <w:rsid w:val="00BD7F2E"/>
    <w:rsid w:val="00BF47CC"/>
    <w:rsid w:val="00C052B7"/>
    <w:rsid w:val="00C05E27"/>
    <w:rsid w:val="00C47CA6"/>
    <w:rsid w:val="00C84610"/>
    <w:rsid w:val="00C87AE2"/>
    <w:rsid w:val="00CB377F"/>
    <w:rsid w:val="00CB5384"/>
    <w:rsid w:val="00CB56AE"/>
    <w:rsid w:val="00CD1A97"/>
    <w:rsid w:val="00CE161A"/>
    <w:rsid w:val="00CE4263"/>
    <w:rsid w:val="00CE4B60"/>
    <w:rsid w:val="00CF39F0"/>
    <w:rsid w:val="00D15630"/>
    <w:rsid w:val="00D16441"/>
    <w:rsid w:val="00D179FF"/>
    <w:rsid w:val="00D17B34"/>
    <w:rsid w:val="00D20E5B"/>
    <w:rsid w:val="00D256BD"/>
    <w:rsid w:val="00D31C50"/>
    <w:rsid w:val="00D53432"/>
    <w:rsid w:val="00D57020"/>
    <w:rsid w:val="00DA338A"/>
    <w:rsid w:val="00DA4163"/>
    <w:rsid w:val="00DE3CE6"/>
    <w:rsid w:val="00DF34D5"/>
    <w:rsid w:val="00E018A1"/>
    <w:rsid w:val="00E22761"/>
    <w:rsid w:val="00E31398"/>
    <w:rsid w:val="00E43C0D"/>
    <w:rsid w:val="00E50189"/>
    <w:rsid w:val="00E50E29"/>
    <w:rsid w:val="00E536C8"/>
    <w:rsid w:val="00E55094"/>
    <w:rsid w:val="00E93792"/>
    <w:rsid w:val="00EA14D3"/>
    <w:rsid w:val="00EA694D"/>
    <w:rsid w:val="00EC5150"/>
    <w:rsid w:val="00EC67B7"/>
    <w:rsid w:val="00ED78EC"/>
    <w:rsid w:val="00EE2161"/>
    <w:rsid w:val="00EF737E"/>
    <w:rsid w:val="00F1094F"/>
    <w:rsid w:val="00F1492F"/>
    <w:rsid w:val="00F8087C"/>
    <w:rsid w:val="00F830AD"/>
    <w:rsid w:val="00F8524E"/>
    <w:rsid w:val="00F86879"/>
    <w:rsid w:val="00F86FAC"/>
    <w:rsid w:val="00F93AFA"/>
    <w:rsid w:val="00FA038A"/>
    <w:rsid w:val="00FA782D"/>
    <w:rsid w:val="00FB10B8"/>
    <w:rsid w:val="00FC1431"/>
    <w:rsid w:val="00FE1E8C"/>
    <w:rsid w:val="00FE380E"/>
    <w:rsid w:val="00FF3476"/>
    <w:rsid w:val="00FF7C3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2BCD8"/>
  <w15:docId w15:val="{F535D777-499F-439C-A8F1-CD9BC2F9B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2A9"/>
  </w:style>
  <w:style w:type="paragraph" w:styleId="Ttulo1">
    <w:name w:val="heading 1"/>
    <w:basedOn w:val="Prrafodelista"/>
    <w:next w:val="Normal"/>
    <w:link w:val="Ttulo1Car"/>
    <w:uiPriority w:val="9"/>
    <w:qFormat/>
    <w:rsid w:val="001230C0"/>
    <w:pPr>
      <w:numPr>
        <w:numId w:val="17"/>
      </w:numPr>
      <w:jc w:val="both"/>
      <w:outlineLvl w:val="0"/>
    </w:pPr>
    <w:rPr>
      <w:b/>
      <w:bCs/>
    </w:rPr>
  </w:style>
  <w:style w:type="paragraph" w:styleId="Ttulo2">
    <w:name w:val="heading 2"/>
    <w:basedOn w:val="Prrafodelista"/>
    <w:next w:val="Normal"/>
    <w:link w:val="Ttulo2Car"/>
    <w:uiPriority w:val="9"/>
    <w:unhideWhenUsed/>
    <w:qFormat/>
    <w:rsid w:val="001230C0"/>
    <w:pPr>
      <w:numPr>
        <w:ilvl w:val="1"/>
        <w:numId w:val="24"/>
      </w:numPr>
      <w:jc w:val="both"/>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5F0BA4"/>
    <w:rPr>
      <w:sz w:val="16"/>
      <w:szCs w:val="16"/>
    </w:rPr>
  </w:style>
  <w:style w:type="paragraph" w:styleId="Textocomentario">
    <w:name w:val="annotation text"/>
    <w:basedOn w:val="Normal"/>
    <w:link w:val="TextocomentarioCar"/>
    <w:uiPriority w:val="99"/>
    <w:semiHidden/>
    <w:unhideWhenUsed/>
    <w:rsid w:val="005F0BA4"/>
    <w:pPr>
      <w:spacing w:after="160" w:line="240" w:lineRule="auto"/>
    </w:pPr>
    <w:rPr>
      <w:sz w:val="20"/>
      <w:szCs w:val="20"/>
      <w:lang w:val="es-419"/>
    </w:rPr>
  </w:style>
  <w:style w:type="character" w:customStyle="1" w:styleId="TextocomentarioCar">
    <w:name w:val="Texto comentario Car"/>
    <w:basedOn w:val="Fuentedeprrafopredeter"/>
    <w:link w:val="Textocomentario"/>
    <w:uiPriority w:val="99"/>
    <w:semiHidden/>
    <w:rsid w:val="005F0BA4"/>
    <w:rPr>
      <w:sz w:val="20"/>
      <w:szCs w:val="20"/>
      <w:lang w:val="es-419"/>
    </w:rPr>
  </w:style>
  <w:style w:type="paragraph" w:styleId="Textodeglobo">
    <w:name w:val="Balloon Text"/>
    <w:basedOn w:val="Normal"/>
    <w:link w:val="TextodegloboCar"/>
    <w:uiPriority w:val="99"/>
    <w:semiHidden/>
    <w:unhideWhenUsed/>
    <w:rsid w:val="005F0BA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0BA4"/>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unhideWhenUsed/>
    <w:rsid w:val="00730421"/>
    <w:pPr>
      <w:spacing w:after="200"/>
    </w:pPr>
    <w:rPr>
      <w:b/>
      <w:bCs/>
      <w:lang w:val="es-AR"/>
    </w:rPr>
  </w:style>
  <w:style w:type="character" w:customStyle="1" w:styleId="AsuntodelcomentarioCar">
    <w:name w:val="Asunto del comentario Car"/>
    <w:basedOn w:val="TextocomentarioCar"/>
    <w:link w:val="Asuntodelcomentario"/>
    <w:uiPriority w:val="99"/>
    <w:semiHidden/>
    <w:rsid w:val="00730421"/>
    <w:rPr>
      <w:b/>
      <w:bCs/>
      <w:sz w:val="20"/>
      <w:szCs w:val="20"/>
      <w:lang w:val="es-419"/>
    </w:rPr>
  </w:style>
  <w:style w:type="paragraph" w:styleId="Revisin">
    <w:name w:val="Revision"/>
    <w:hidden/>
    <w:uiPriority w:val="99"/>
    <w:semiHidden/>
    <w:rsid w:val="00730421"/>
    <w:pPr>
      <w:spacing w:after="0" w:line="240" w:lineRule="auto"/>
    </w:pPr>
  </w:style>
  <w:style w:type="paragraph" w:styleId="Prrafodelista">
    <w:name w:val="List Paragraph"/>
    <w:basedOn w:val="Normal"/>
    <w:uiPriority w:val="34"/>
    <w:qFormat/>
    <w:rsid w:val="007611B9"/>
    <w:pPr>
      <w:spacing w:after="160" w:line="259" w:lineRule="auto"/>
      <w:ind w:left="720"/>
      <w:contextualSpacing/>
    </w:pPr>
    <w:rPr>
      <w:lang w:val="es-419"/>
    </w:rPr>
  </w:style>
  <w:style w:type="character" w:styleId="Hipervnculo">
    <w:name w:val="Hyperlink"/>
    <w:basedOn w:val="Fuentedeprrafopredeter"/>
    <w:uiPriority w:val="99"/>
    <w:unhideWhenUsed/>
    <w:rsid w:val="007611B9"/>
    <w:rPr>
      <w:color w:val="0000FF" w:themeColor="hyperlink"/>
      <w:u w:val="single"/>
    </w:rPr>
  </w:style>
  <w:style w:type="character" w:customStyle="1" w:styleId="UnresolvedMention1">
    <w:name w:val="Unresolved Mention1"/>
    <w:basedOn w:val="Fuentedeprrafopredeter"/>
    <w:uiPriority w:val="99"/>
    <w:semiHidden/>
    <w:unhideWhenUsed/>
    <w:rsid w:val="007611B9"/>
    <w:rPr>
      <w:color w:val="605E5C"/>
      <w:shd w:val="clear" w:color="auto" w:fill="E1DFDD"/>
    </w:rPr>
  </w:style>
  <w:style w:type="character" w:customStyle="1" w:styleId="Ttulo1Car">
    <w:name w:val="Título 1 Car"/>
    <w:basedOn w:val="Fuentedeprrafopredeter"/>
    <w:link w:val="Ttulo1"/>
    <w:uiPriority w:val="9"/>
    <w:rsid w:val="001230C0"/>
    <w:rPr>
      <w:b/>
      <w:bCs/>
      <w:lang w:val="es-419"/>
    </w:rPr>
  </w:style>
  <w:style w:type="character" w:customStyle="1" w:styleId="Ttulo2Car">
    <w:name w:val="Título 2 Car"/>
    <w:basedOn w:val="Fuentedeprrafopredeter"/>
    <w:link w:val="Ttulo2"/>
    <w:uiPriority w:val="9"/>
    <w:rsid w:val="001230C0"/>
    <w:rPr>
      <w:b/>
      <w:bCs/>
      <w:lang w:val="es-419"/>
    </w:rPr>
  </w:style>
  <w:style w:type="character" w:customStyle="1" w:styleId="Mencinsinresolver1">
    <w:name w:val="Mención sin resolver1"/>
    <w:basedOn w:val="Fuentedeprrafopredeter"/>
    <w:uiPriority w:val="99"/>
    <w:semiHidden/>
    <w:unhideWhenUsed/>
    <w:rsid w:val="00FA782D"/>
    <w:rPr>
      <w:color w:val="605E5C"/>
      <w:shd w:val="clear" w:color="auto" w:fill="E1DFDD"/>
    </w:rPr>
  </w:style>
  <w:style w:type="character" w:styleId="Hipervnculovisitado">
    <w:name w:val="FollowedHyperlink"/>
    <w:basedOn w:val="Fuentedeprrafopredeter"/>
    <w:uiPriority w:val="99"/>
    <w:semiHidden/>
    <w:unhideWhenUsed/>
    <w:rsid w:val="008C5374"/>
    <w:rPr>
      <w:color w:val="800080" w:themeColor="followedHyperlink"/>
      <w:u w:val="single"/>
    </w:rPr>
  </w:style>
  <w:style w:type="character" w:customStyle="1" w:styleId="UnresolvedMention2">
    <w:name w:val="Unresolved Mention2"/>
    <w:basedOn w:val="Fuentedeprrafopredeter"/>
    <w:uiPriority w:val="99"/>
    <w:semiHidden/>
    <w:unhideWhenUsed/>
    <w:rsid w:val="00873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5258616">
      <w:bodyDiv w:val="1"/>
      <w:marLeft w:val="0"/>
      <w:marRight w:val="0"/>
      <w:marTop w:val="0"/>
      <w:marBottom w:val="0"/>
      <w:divBdr>
        <w:top w:val="none" w:sz="0" w:space="0" w:color="auto"/>
        <w:left w:val="none" w:sz="0" w:space="0" w:color="auto"/>
        <w:bottom w:val="none" w:sz="0" w:space="0" w:color="auto"/>
        <w:right w:val="none" w:sz="0" w:space="0" w:color="auto"/>
      </w:divBdr>
    </w:div>
    <w:div w:id="1890604433">
      <w:bodyDiv w:val="1"/>
      <w:marLeft w:val="0"/>
      <w:marRight w:val="0"/>
      <w:marTop w:val="0"/>
      <w:marBottom w:val="0"/>
      <w:divBdr>
        <w:top w:val="none" w:sz="0" w:space="0" w:color="auto"/>
        <w:left w:val="none" w:sz="0" w:space="0" w:color="auto"/>
        <w:bottom w:val="none" w:sz="0" w:space="0" w:color="auto"/>
        <w:right w:val="none" w:sz="0" w:space="0" w:color="auto"/>
      </w:divBdr>
    </w:div>
    <w:div w:id="1892689523">
      <w:bodyDiv w:val="1"/>
      <w:marLeft w:val="0"/>
      <w:marRight w:val="0"/>
      <w:marTop w:val="0"/>
      <w:marBottom w:val="0"/>
      <w:divBdr>
        <w:top w:val="none" w:sz="0" w:space="0" w:color="auto"/>
        <w:left w:val="none" w:sz="0" w:space="0" w:color="auto"/>
        <w:bottom w:val="none" w:sz="0" w:space="0" w:color="auto"/>
        <w:right w:val="none" w:sz="0" w:space="0" w:color="auto"/>
      </w:divBdr>
    </w:div>
    <w:div w:id="207338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pers.ssrn.com/sol3/papers.cfm?abstract_id=3519984" TargetMode="External"/><Relationship Id="rId13" Type="http://schemas.openxmlformats.org/officeDocument/2006/relationships/hyperlink" Target="https://www.fasb.org/" TargetMode="External"/><Relationship Id="rId18" Type="http://schemas.openxmlformats.org/officeDocument/2006/relationships/hyperlink" Target="https://www.ifrs.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edici.unlp.edu.ar/handle/10915/30157" TargetMode="External"/><Relationship Id="rId12" Type="http://schemas.openxmlformats.org/officeDocument/2006/relationships/hyperlink" Target="https://www.facpce.org.ar/" TargetMode="External"/><Relationship Id="rId17" Type="http://schemas.openxmlformats.org/officeDocument/2006/relationships/hyperlink" Target="https://www.ifrs.org/" TargetMode="External"/><Relationship Id="rId2" Type="http://schemas.openxmlformats.org/officeDocument/2006/relationships/numbering" Target="numbering.xml"/><Relationship Id="rId16" Type="http://schemas.openxmlformats.org/officeDocument/2006/relationships/hyperlink" Target="https://www.fasb.org/" TargetMode="External"/><Relationship Id="rId20" Type="http://schemas.openxmlformats.org/officeDocument/2006/relationships/hyperlink" Target="https://www.pwc.com/us/en/cfodirect/assets/pdf/accounting-guides/pwc-guide-foreign-currency.pdf" TargetMode="External"/><Relationship Id="rId1" Type="http://schemas.openxmlformats.org/officeDocument/2006/relationships/customXml" Target="../customXml/item1.xml"/><Relationship Id="rId6" Type="http://schemas.openxmlformats.org/officeDocument/2006/relationships/hyperlink" Target="http://hdl.handle.net/11086/4378" TargetMode="External"/><Relationship Id="rId11" Type="http://schemas.openxmlformats.org/officeDocument/2006/relationships/hyperlink" Target="https://www.facpce.org.ar/" TargetMode="External"/><Relationship Id="rId5" Type="http://schemas.openxmlformats.org/officeDocument/2006/relationships/webSettings" Target="webSettings.xml"/><Relationship Id="rId15" Type="http://schemas.openxmlformats.org/officeDocument/2006/relationships/hyperlink" Target="https://www.fasb.org/" TargetMode="External"/><Relationship Id="rId10" Type="http://schemas.openxmlformats.org/officeDocument/2006/relationships/hyperlink" Target="https://consejo.org.ar/herramientas-profesionales/normas-profesionales/contabilidad/" TargetMode="External"/><Relationship Id="rId19" Type="http://schemas.openxmlformats.org/officeDocument/2006/relationships/hyperlink" Target="https://doi.org/10.1108/eb037950" TargetMode="External"/><Relationship Id="rId4" Type="http://schemas.openxmlformats.org/officeDocument/2006/relationships/settings" Target="settings.xml"/><Relationship Id="rId9" Type="http://schemas.openxmlformats.org/officeDocument/2006/relationships/hyperlink" Target="https://www.facpce.org.ar/" TargetMode="External"/><Relationship Id="rId14" Type="http://schemas.openxmlformats.org/officeDocument/2006/relationships/hyperlink" Target="https://www.fasb.org/"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Fow10</b:Tag>
    <b:SourceType>Book</b:SourceType>
    <b:Guid>{5ECF589F-A8E6-4BEB-88BB-59F439AC96DA}</b:Guid>
    <b:Title>Contabilidad Superior</b:Title>
    <b:Year>2010</b:Year>
    <b:LCID>es-AR</b:LCID>
    <b:City>Buenos Aires</b:City>
    <b:Publisher>La Ley</b:Publisher>
    <b:Author>
      <b:Author>
        <b:NameList>
          <b:Person>
            <b:Last>Fowler Newton</b:Last>
            <b:First>Enrique</b:First>
          </b:Person>
        </b:NameList>
      </b:Author>
    </b:Author>
    <b:RefOrder>1</b:RefOrder>
  </b:Source>
</b:Sources>
</file>

<file path=customXml/itemProps1.xml><?xml version="1.0" encoding="utf-8"?>
<ds:datastoreItem xmlns:ds="http://schemas.openxmlformats.org/officeDocument/2006/customXml" ds:itemID="{BC11339B-D6A1-4FFB-B03A-1C1D92EAD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9666</Words>
  <Characters>53164</Characters>
  <Application>Microsoft Office Word</Application>
  <DocSecurity>0</DocSecurity>
  <Lines>443</Lines>
  <Paragraphs>125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Giuliana Caivano</dc:creator>
  <cp:lastModifiedBy>Alejandro Barbei</cp:lastModifiedBy>
  <cp:revision>2</cp:revision>
  <cp:lastPrinted>2020-11-12T18:09:00Z</cp:lastPrinted>
  <dcterms:created xsi:type="dcterms:W3CDTF">2020-11-20T20:53:00Z</dcterms:created>
  <dcterms:modified xsi:type="dcterms:W3CDTF">2020-11-20T20:53:00Z</dcterms:modified>
</cp:coreProperties>
</file>